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44623" w:rsidRPr="003B67FC" w:rsidRDefault="00C36FD9" w:rsidP="00BE13CE">
      <w:pPr>
        <w:widowControl w:val="0"/>
        <w:rPr>
          <w:rFonts w:ascii="Arial" w:hAnsi="Arial" w:cs="Arial"/>
          <w:b/>
          <w:bCs/>
          <w:i/>
          <w:iCs/>
          <w:color w:val="00B0F0"/>
          <w:sz w:val="32"/>
          <w:szCs w:val="32"/>
        </w:rPr>
      </w:pPr>
      <w:r>
        <w:rPr>
          <w:rFonts w:ascii="Arial" w:hAnsi="Arial" w:cs="Arial"/>
          <w:b/>
          <w:bCs/>
          <w:i/>
          <w:iCs/>
          <w:noProof/>
          <w:color w:val="00B0F0"/>
          <w:sz w:val="32"/>
          <w:szCs w:val="32"/>
        </w:rPr>
        <w:drawing>
          <wp:anchor distT="0" distB="0" distL="114300" distR="114300" simplePos="0" relativeHeight="251660288" behindDoc="0" locked="0" layoutInCell="1" allowOverlap="1">
            <wp:simplePos x="0" y="0"/>
            <wp:positionH relativeFrom="margin">
              <wp:posOffset>4629150</wp:posOffset>
            </wp:positionH>
            <wp:positionV relativeFrom="margin">
              <wp:posOffset>-666750</wp:posOffset>
            </wp:positionV>
            <wp:extent cx="1809750" cy="876300"/>
            <wp:effectExtent l="19050" t="0" r="0" b="0"/>
            <wp:wrapSquare wrapText="bothSides"/>
            <wp:docPr id="5" name="Picture 3" descr="W:\Golden Thread Advocacy Programme\Presentations\Templates\Age Cymru &amp; Strapline Biling RGB.jp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W:\Golden Thread Advocacy Programme\Presentations\Templates\Age Cymru &amp; Strapline Biling RGB.jpg"/>
                    <pic:cNvPicPr>
                      <a:picLocks noChangeAspect="1" noChangeArrowheads="1"/>
                    </pic:cNvPicPr>
                  </pic:nvPicPr>
                  <pic:blipFill>
                    <a:blip r:embed="rId9" cstate="print"/>
                    <a:srcRect/>
                    <a:stretch>
                      <a:fillRect/>
                    </a:stretch>
                  </pic:blipFill>
                  <pic:spPr bwMode="auto">
                    <a:xfrm>
                      <a:off x="0" y="0"/>
                      <a:ext cx="1809750" cy="876300"/>
                    </a:xfrm>
                    <a:prstGeom prst="rect">
                      <a:avLst/>
                    </a:prstGeom>
                    <a:noFill/>
                    <a:ln w="9525">
                      <a:noFill/>
                      <a:miter lim="800000"/>
                      <a:headEnd/>
                      <a:tailEnd/>
                    </a:ln>
                  </pic:spPr>
                </pic:pic>
              </a:graphicData>
            </a:graphic>
          </wp:anchor>
        </w:drawing>
      </w:r>
      <w:r>
        <w:rPr>
          <w:rFonts w:ascii="Arial" w:hAnsi="Arial" w:cs="Arial"/>
          <w:b/>
          <w:bCs/>
          <w:i/>
          <w:iCs/>
          <w:noProof/>
          <w:color w:val="00B0F0"/>
          <w:sz w:val="32"/>
          <w:szCs w:val="32"/>
        </w:rPr>
        <w:drawing>
          <wp:anchor distT="0" distB="0" distL="114300" distR="114300" simplePos="0" relativeHeight="251661312" behindDoc="0" locked="0" layoutInCell="1" allowOverlap="1">
            <wp:simplePos x="0" y="0"/>
            <wp:positionH relativeFrom="margin">
              <wp:posOffset>-266700</wp:posOffset>
            </wp:positionH>
            <wp:positionV relativeFrom="margin">
              <wp:posOffset>-666750</wp:posOffset>
            </wp:positionV>
            <wp:extent cx="1724025" cy="809625"/>
            <wp:effectExtent l="19050" t="0" r="9525" b="0"/>
            <wp:wrapSquare wrapText="bothSides"/>
            <wp:docPr id="6" name="Picture 2" descr="W:\Golden Thread Advocacy Programme\Logos\Advocacy The Golden Thread Programme logo\Advocacy The Golden Thread Programme logo English\Advocacy The Golden Thread Programme Eng (with strap) RGB.jpg">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W:\Golden Thread Advocacy Programme\Logos\Advocacy The Golden Thread Programme logo\Advocacy The Golden Thread Programme logo English\Advocacy The Golden Thread Programme Eng (with strap) RGB.jpg"/>
                    <pic:cNvPicPr>
                      <a:picLocks noChangeAspect="1" noChangeArrowheads="1"/>
                    </pic:cNvPicPr>
                  </pic:nvPicPr>
                  <pic:blipFill>
                    <a:blip r:embed="rId11" cstate="print"/>
                    <a:srcRect/>
                    <a:stretch>
                      <a:fillRect/>
                    </a:stretch>
                  </pic:blipFill>
                  <pic:spPr bwMode="auto">
                    <a:xfrm>
                      <a:off x="0" y="0"/>
                      <a:ext cx="1724025" cy="809625"/>
                    </a:xfrm>
                    <a:prstGeom prst="rect">
                      <a:avLst/>
                    </a:prstGeom>
                    <a:noFill/>
                    <a:ln w="9525">
                      <a:noFill/>
                      <a:miter lim="800000"/>
                      <a:headEnd/>
                      <a:tailEnd/>
                    </a:ln>
                  </pic:spPr>
                </pic:pic>
              </a:graphicData>
            </a:graphic>
          </wp:anchor>
        </w:drawing>
      </w:r>
    </w:p>
    <w:p w:rsidR="00E44623" w:rsidRPr="003B67FC" w:rsidRDefault="00E44623" w:rsidP="00BE13CE">
      <w:pPr>
        <w:widowControl w:val="0"/>
        <w:rPr>
          <w:rFonts w:ascii="Arial" w:hAnsi="Arial" w:cs="Arial"/>
          <w:b/>
          <w:bCs/>
          <w:i/>
          <w:iCs/>
          <w:color w:val="00B0F0"/>
          <w:sz w:val="32"/>
          <w:szCs w:val="32"/>
        </w:rPr>
      </w:pPr>
    </w:p>
    <w:p w:rsidR="00BE13CE" w:rsidRPr="003B67FC" w:rsidRDefault="00BE13CE" w:rsidP="003B67FC">
      <w:pPr>
        <w:widowControl w:val="0"/>
        <w:jc w:val="center"/>
        <w:rPr>
          <w:rFonts w:ascii="Arial" w:hAnsi="Arial" w:cs="Arial"/>
          <w:b/>
          <w:bCs/>
          <w:iCs/>
          <w:color w:val="00B0F0"/>
          <w:sz w:val="32"/>
          <w:szCs w:val="32"/>
        </w:rPr>
      </w:pPr>
      <w:r w:rsidRPr="003B67FC">
        <w:rPr>
          <w:rFonts w:ascii="Arial" w:hAnsi="Arial" w:cs="Arial"/>
          <w:b/>
          <w:bCs/>
          <w:iCs/>
          <w:color w:val="00B0F0"/>
          <w:sz w:val="32"/>
          <w:szCs w:val="32"/>
        </w:rPr>
        <w:t>Independent Professional Advocacy and the Information, Advice &amp; Assistance Service</w:t>
      </w:r>
    </w:p>
    <w:p w:rsidR="00BE13CE" w:rsidRPr="003B67FC" w:rsidRDefault="00BE13CE" w:rsidP="00BE13CE">
      <w:pPr>
        <w:widowControl w:val="0"/>
        <w:rPr>
          <w:rFonts w:ascii="Arial" w:hAnsi="Arial" w:cs="Arial"/>
          <w:color w:val="141760"/>
          <w:sz w:val="24"/>
          <w:szCs w:val="24"/>
        </w:rPr>
      </w:pPr>
      <w:r w:rsidRPr="003B67FC">
        <w:rPr>
          <w:rFonts w:ascii="Arial" w:hAnsi="Arial" w:cs="Arial"/>
          <w:color w:val="141760"/>
          <w:sz w:val="24"/>
          <w:szCs w:val="24"/>
        </w:rPr>
        <w:t> </w:t>
      </w:r>
    </w:p>
    <w:p w:rsidR="00BE13CE" w:rsidRPr="003B67FC" w:rsidRDefault="00BE13CE" w:rsidP="00BE13CE">
      <w:pPr>
        <w:widowControl w:val="0"/>
        <w:rPr>
          <w:rFonts w:ascii="Arial" w:hAnsi="Arial" w:cs="Arial"/>
          <w:color w:val="141760"/>
          <w:sz w:val="24"/>
          <w:szCs w:val="24"/>
        </w:rPr>
      </w:pPr>
      <w:r w:rsidRPr="003B67FC">
        <w:rPr>
          <w:rFonts w:ascii="Arial" w:hAnsi="Arial" w:cs="Arial"/>
          <w:iCs/>
          <w:color w:val="141760"/>
          <w:sz w:val="24"/>
          <w:szCs w:val="24"/>
        </w:rPr>
        <w:t xml:space="preserve">Information, Advice and Assistance (IAA) and Independent Professional Advocacy (IPA) both have key roles in the new approach to care and support. Staff working in IAA services may need to refer some people to an IPA service. What process should </w:t>
      </w:r>
      <w:r w:rsidR="00E44623" w:rsidRPr="003B67FC">
        <w:rPr>
          <w:rFonts w:ascii="Arial" w:hAnsi="Arial" w:cs="Arial"/>
          <w:iCs/>
          <w:color w:val="141760"/>
          <w:sz w:val="24"/>
          <w:szCs w:val="24"/>
        </w:rPr>
        <w:t>be followed</w:t>
      </w:r>
      <w:r w:rsidRPr="003B67FC">
        <w:rPr>
          <w:rFonts w:ascii="Arial" w:hAnsi="Arial" w:cs="Arial"/>
          <w:iCs/>
          <w:color w:val="141760"/>
          <w:sz w:val="24"/>
          <w:szCs w:val="24"/>
        </w:rPr>
        <w:t xml:space="preserve"> to decide when a referral should be made?</w:t>
      </w:r>
      <w:r w:rsidRPr="003B67FC">
        <w:rPr>
          <w:rFonts w:ascii="Arial" w:hAnsi="Arial" w:cs="Arial"/>
          <w:color w:val="141760"/>
          <w:sz w:val="24"/>
          <w:szCs w:val="24"/>
        </w:rPr>
        <w:t xml:space="preserve"> </w:t>
      </w:r>
    </w:p>
    <w:p w:rsidR="00BE13CE" w:rsidRPr="003B67FC" w:rsidRDefault="00BE13CE" w:rsidP="00BE13CE">
      <w:pPr>
        <w:widowControl w:val="0"/>
        <w:rPr>
          <w:rFonts w:ascii="Arial" w:hAnsi="Arial" w:cs="Arial"/>
          <w:color w:val="141760"/>
          <w:sz w:val="24"/>
          <w:szCs w:val="24"/>
        </w:rPr>
      </w:pPr>
      <w:r w:rsidRPr="003B67FC">
        <w:rPr>
          <w:rFonts w:ascii="Arial" w:hAnsi="Arial" w:cs="Arial"/>
          <w:color w:val="141760"/>
          <w:sz w:val="24"/>
          <w:szCs w:val="24"/>
        </w:rPr>
        <w:t> </w:t>
      </w:r>
    </w:p>
    <w:p w:rsidR="00BE13CE" w:rsidRPr="003B67FC" w:rsidRDefault="00BE13CE" w:rsidP="00BE13CE">
      <w:pPr>
        <w:widowControl w:val="0"/>
        <w:rPr>
          <w:rFonts w:ascii="Arial" w:hAnsi="Arial" w:cs="Arial"/>
          <w:color w:val="141760"/>
          <w:sz w:val="24"/>
          <w:szCs w:val="24"/>
        </w:rPr>
      </w:pPr>
      <w:r w:rsidRPr="003B67FC">
        <w:rPr>
          <w:rFonts w:ascii="Arial" w:hAnsi="Arial" w:cs="Arial"/>
          <w:color w:val="141760"/>
          <w:sz w:val="24"/>
          <w:szCs w:val="24"/>
        </w:rPr>
        <w:t xml:space="preserve">The Social Services and Well-being (Wales) Act (“the Act”) requires local authorities to consider whether an individual may have a need for Independent Professional Advocacy (IPA) at every step of their journey through the social services system, including at their first point of contact. The Part 10 Code of Practice on Advocacy (“the Code”) states: </w:t>
      </w:r>
    </w:p>
    <w:p w:rsidR="00BE13CE" w:rsidRPr="003B67FC" w:rsidRDefault="00BE13CE" w:rsidP="00BE13CE">
      <w:pPr>
        <w:widowControl w:val="0"/>
        <w:rPr>
          <w:rFonts w:ascii="Arial" w:hAnsi="Arial" w:cs="Arial"/>
          <w:color w:val="141760"/>
          <w:sz w:val="24"/>
          <w:szCs w:val="24"/>
        </w:rPr>
      </w:pPr>
      <w:r w:rsidRPr="003B67FC">
        <w:rPr>
          <w:rFonts w:ascii="Arial" w:hAnsi="Arial" w:cs="Arial"/>
          <w:color w:val="141760"/>
          <w:sz w:val="24"/>
          <w:szCs w:val="24"/>
        </w:rPr>
        <w:t> </w:t>
      </w:r>
    </w:p>
    <w:p w:rsidR="00BE13CE" w:rsidRPr="003B67FC" w:rsidRDefault="003B67FC" w:rsidP="00BE13CE">
      <w:pPr>
        <w:widowControl w:val="0"/>
        <w:rPr>
          <w:rFonts w:ascii="Arial" w:hAnsi="Arial" w:cs="Arial"/>
          <w:color w:val="141760"/>
          <w:sz w:val="24"/>
          <w:szCs w:val="24"/>
        </w:rPr>
      </w:pPr>
      <w:r>
        <w:rPr>
          <w:rFonts w:ascii="Arial" w:hAnsi="Arial" w:cs="Arial"/>
          <w:color w:val="141760"/>
          <w:sz w:val="24"/>
          <w:szCs w:val="24"/>
        </w:rPr>
        <w:t xml:space="preserve">Para </w:t>
      </w:r>
      <w:r w:rsidR="00BE13CE" w:rsidRPr="003B67FC">
        <w:rPr>
          <w:rFonts w:ascii="Arial" w:hAnsi="Arial" w:cs="Arial"/>
          <w:color w:val="141760"/>
          <w:sz w:val="24"/>
          <w:szCs w:val="24"/>
        </w:rPr>
        <w:t>47. Local authorities must arrange for the provision of an independent professional advocate when a person can only overcome the barrier(s) to participating fully in the assessment, care and support planning, review and safeguarding processes with assistance from an appropriate individual, but there is no appropriate individual available.</w:t>
      </w:r>
      <w:r w:rsidR="00BE13CE" w:rsidRPr="003B67FC">
        <w:rPr>
          <w:rFonts w:ascii="Arial" w:hAnsi="Arial" w:cs="Arial"/>
          <w:color w:val="141760"/>
          <w:sz w:val="16"/>
          <w:szCs w:val="16"/>
          <w:vertAlign w:val="superscript"/>
        </w:rPr>
        <w:t>1</w:t>
      </w:r>
    </w:p>
    <w:p w:rsidR="00BE13CE" w:rsidRPr="003B67FC" w:rsidRDefault="00BE13CE" w:rsidP="00BE13CE">
      <w:pPr>
        <w:widowControl w:val="0"/>
        <w:rPr>
          <w:rFonts w:ascii="Arial" w:hAnsi="Arial" w:cs="Arial"/>
          <w:color w:val="141760"/>
          <w:sz w:val="24"/>
          <w:szCs w:val="24"/>
        </w:rPr>
      </w:pPr>
      <w:r w:rsidRPr="003B67FC">
        <w:rPr>
          <w:rFonts w:ascii="Arial" w:hAnsi="Arial" w:cs="Arial"/>
          <w:color w:val="141760"/>
          <w:sz w:val="24"/>
          <w:szCs w:val="24"/>
        </w:rPr>
        <w:t> </w:t>
      </w:r>
    </w:p>
    <w:p w:rsidR="00BE13CE" w:rsidRPr="003B67FC" w:rsidRDefault="00BE13CE" w:rsidP="00BE13CE">
      <w:pPr>
        <w:widowControl w:val="0"/>
        <w:rPr>
          <w:rFonts w:ascii="Arial" w:hAnsi="Arial" w:cs="Arial"/>
          <w:b/>
          <w:bCs/>
          <w:color w:val="00B0F0"/>
          <w:sz w:val="24"/>
          <w:szCs w:val="24"/>
        </w:rPr>
      </w:pPr>
      <w:r w:rsidRPr="003B67FC">
        <w:rPr>
          <w:rFonts w:ascii="Arial" w:hAnsi="Arial" w:cs="Arial"/>
          <w:b/>
          <w:bCs/>
          <w:color w:val="00B0F0"/>
          <w:sz w:val="24"/>
          <w:szCs w:val="24"/>
        </w:rPr>
        <w:t xml:space="preserve">Participating fully </w:t>
      </w:r>
    </w:p>
    <w:p w:rsidR="00BE13CE" w:rsidRPr="003B67FC" w:rsidRDefault="00BE13CE" w:rsidP="00BE13CE">
      <w:pPr>
        <w:widowControl w:val="0"/>
        <w:rPr>
          <w:rFonts w:ascii="Arial" w:hAnsi="Arial" w:cs="Arial"/>
          <w:color w:val="141760"/>
          <w:sz w:val="24"/>
          <w:szCs w:val="24"/>
        </w:rPr>
      </w:pPr>
      <w:r w:rsidRPr="003B67FC">
        <w:rPr>
          <w:rFonts w:ascii="Arial" w:hAnsi="Arial" w:cs="Arial"/>
          <w:color w:val="141760"/>
          <w:sz w:val="24"/>
          <w:szCs w:val="24"/>
        </w:rPr>
        <w:t> </w:t>
      </w:r>
    </w:p>
    <w:p w:rsidR="00BE13CE" w:rsidRPr="003B67FC" w:rsidRDefault="00BE13CE" w:rsidP="00BE13CE">
      <w:pPr>
        <w:widowControl w:val="0"/>
        <w:rPr>
          <w:rFonts w:ascii="Arial" w:hAnsi="Arial" w:cs="Arial"/>
          <w:color w:val="141760"/>
          <w:sz w:val="24"/>
          <w:szCs w:val="24"/>
        </w:rPr>
      </w:pPr>
      <w:r w:rsidRPr="003B67FC">
        <w:rPr>
          <w:rFonts w:ascii="Arial" w:hAnsi="Arial" w:cs="Arial"/>
          <w:color w:val="141760"/>
          <w:sz w:val="24"/>
          <w:szCs w:val="24"/>
        </w:rPr>
        <w:t>The Code explains what participating fully in the assessment, care and support planning, review and safeguarding processes means:</w:t>
      </w:r>
    </w:p>
    <w:p w:rsidR="00BE13CE" w:rsidRPr="003B67FC" w:rsidRDefault="00BE13CE" w:rsidP="00BE13CE">
      <w:pPr>
        <w:widowControl w:val="0"/>
        <w:rPr>
          <w:rFonts w:ascii="Arial" w:hAnsi="Arial" w:cs="Arial"/>
          <w:color w:val="141760"/>
          <w:sz w:val="24"/>
          <w:szCs w:val="24"/>
        </w:rPr>
      </w:pPr>
      <w:r w:rsidRPr="003B67FC">
        <w:rPr>
          <w:rFonts w:ascii="Arial" w:hAnsi="Arial" w:cs="Arial"/>
          <w:color w:val="141760"/>
          <w:sz w:val="24"/>
          <w:szCs w:val="24"/>
        </w:rPr>
        <w:t> </w:t>
      </w:r>
    </w:p>
    <w:p w:rsidR="00BE13CE" w:rsidRPr="003B67FC" w:rsidRDefault="003B67FC" w:rsidP="00BE13CE">
      <w:pPr>
        <w:widowControl w:val="0"/>
        <w:rPr>
          <w:rFonts w:ascii="Arial" w:hAnsi="Arial" w:cs="Arial"/>
          <w:color w:val="141760"/>
          <w:sz w:val="24"/>
          <w:szCs w:val="24"/>
        </w:rPr>
      </w:pPr>
      <w:r>
        <w:rPr>
          <w:rFonts w:ascii="Arial" w:hAnsi="Arial" w:cs="Arial"/>
          <w:color w:val="141760"/>
          <w:sz w:val="24"/>
          <w:szCs w:val="24"/>
        </w:rPr>
        <w:t xml:space="preserve">Para </w:t>
      </w:r>
      <w:r w:rsidR="00BE13CE" w:rsidRPr="003B67FC">
        <w:rPr>
          <w:rFonts w:ascii="Arial" w:hAnsi="Arial" w:cs="Arial"/>
          <w:color w:val="141760"/>
          <w:sz w:val="24"/>
          <w:szCs w:val="24"/>
        </w:rPr>
        <w:t xml:space="preserve">48. Participating fully enables the individual </w:t>
      </w:r>
      <w:r w:rsidR="00E44623" w:rsidRPr="003B67FC">
        <w:rPr>
          <w:rFonts w:ascii="Arial" w:hAnsi="Arial" w:cs="Arial"/>
          <w:color w:val="141760"/>
          <w:sz w:val="24"/>
          <w:szCs w:val="24"/>
        </w:rPr>
        <w:t xml:space="preserve">to express or have represented </w:t>
      </w:r>
      <w:r w:rsidR="00BE13CE" w:rsidRPr="003B67FC">
        <w:rPr>
          <w:rFonts w:ascii="Arial" w:hAnsi="Arial" w:cs="Arial"/>
          <w:color w:val="141760"/>
          <w:sz w:val="24"/>
          <w:szCs w:val="24"/>
        </w:rPr>
        <w:t xml:space="preserve">and taken into account their views, </w:t>
      </w:r>
      <w:r w:rsidR="00E44623" w:rsidRPr="003B67FC">
        <w:rPr>
          <w:rFonts w:ascii="Arial" w:hAnsi="Arial" w:cs="Arial"/>
          <w:color w:val="141760"/>
          <w:sz w:val="24"/>
          <w:szCs w:val="24"/>
        </w:rPr>
        <w:t xml:space="preserve">wishes and feelings; that they </w:t>
      </w:r>
      <w:r w:rsidR="00BE13CE" w:rsidRPr="003B67FC">
        <w:rPr>
          <w:rFonts w:ascii="Arial" w:hAnsi="Arial" w:cs="Arial"/>
          <w:color w:val="141760"/>
          <w:sz w:val="24"/>
          <w:szCs w:val="24"/>
        </w:rPr>
        <w:t xml:space="preserve">understand their </w:t>
      </w:r>
      <w:r w:rsidR="00E44623" w:rsidRPr="003B67FC">
        <w:rPr>
          <w:rFonts w:ascii="Arial" w:hAnsi="Arial" w:cs="Arial"/>
          <w:color w:val="141760"/>
          <w:sz w:val="24"/>
          <w:szCs w:val="24"/>
        </w:rPr>
        <w:tab/>
      </w:r>
      <w:r w:rsidR="00BE13CE" w:rsidRPr="003B67FC">
        <w:rPr>
          <w:rFonts w:ascii="Arial" w:hAnsi="Arial" w:cs="Arial"/>
          <w:color w:val="141760"/>
          <w:sz w:val="24"/>
          <w:szCs w:val="24"/>
        </w:rPr>
        <w:t>rights and entitlements; the</w:t>
      </w:r>
      <w:r w:rsidR="00E44623" w:rsidRPr="003B67FC">
        <w:rPr>
          <w:rFonts w:ascii="Arial" w:hAnsi="Arial" w:cs="Arial"/>
          <w:color w:val="141760"/>
          <w:sz w:val="24"/>
          <w:szCs w:val="24"/>
        </w:rPr>
        <w:t xml:space="preserve"> decision making process; what </w:t>
      </w:r>
      <w:r w:rsidR="00BE13CE" w:rsidRPr="003B67FC">
        <w:rPr>
          <w:rFonts w:ascii="Arial" w:hAnsi="Arial" w:cs="Arial"/>
          <w:color w:val="141760"/>
          <w:sz w:val="24"/>
          <w:szCs w:val="24"/>
        </w:rPr>
        <w:t>matters to them; the personal well-being outcomes that they wish</w:t>
      </w:r>
      <w:r w:rsidR="00E44623" w:rsidRPr="003B67FC">
        <w:rPr>
          <w:rFonts w:ascii="Arial" w:hAnsi="Arial" w:cs="Arial"/>
          <w:color w:val="141760"/>
          <w:sz w:val="24"/>
          <w:szCs w:val="24"/>
        </w:rPr>
        <w:t xml:space="preserve"> to </w:t>
      </w:r>
      <w:r w:rsidR="00BE13CE" w:rsidRPr="003B67FC">
        <w:rPr>
          <w:rFonts w:ascii="Arial" w:hAnsi="Arial" w:cs="Arial"/>
          <w:color w:val="141760"/>
          <w:sz w:val="24"/>
          <w:szCs w:val="24"/>
        </w:rPr>
        <w:t>achieve; the barriers to achieving those</w:t>
      </w:r>
      <w:r w:rsidR="00E44623" w:rsidRPr="003B67FC">
        <w:rPr>
          <w:rFonts w:ascii="Arial" w:hAnsi="Arial" w:cs="Arial"/>
          <w:color w:val="141760"/>
          <w:sz w:val="24"/>
          <w:szCs w:val="24"/>
        </w:rPr>
        <w:t xml:space="preserve"> outcomes, and the options and </w:t>
      </w:r>
      <w:r w:rsidR="00BE13CE" w:rsidRPr="003B67FC">
        <w:rPr>
          <w:rFonts w:ascii="Arial" w:hAnsi="Arial" w:cs="Arial"/>
          <w:color w:val="141760"/>
          <w:sz w:val="24"/>
          <w:szCs w:val="24"/>
        </w:rPr>
        <w:t>choices available to them.</w:t>
      </w:r>
      <w:r w:rsidR="00BE13CE" w:rsidRPr="003B67FC">
        <w:rPr>
          <w:rFonts w:ascii="Arial" w:hAnsi="Arial" w:cs="Arial"/>
          <w:color w:val="141760"/>
          <w:sz w:val="16"/>
          <w:szCs w:val="16"/>
          <w:vertAlign w:val="superscript"/>
        </w:rPr>
        <w:t>2</w:t>
      </w:r>
    </w:p>
    <w:p w:rsidR="00BE13CE" w:rsidRPr="003B67FC" w:rsidRDefault="00BE13CE" w:rsidP="00BE13CE">
      <w:pPr>
        <w:widowControl w:val="0"/>
        <w:rPr>
          <w:rFonts w:ascii="Arial" w:hAnsi="Arial" w:cs="Arial"/>
          <w:color w:val="141760"/>
          <w:sz w:val="24"/>
          <w:szCs w:val="24"/>
        </w:rPr>
      </w:pPr>
      <w:r w:rsidRPr="003B67FC">
        <w:rPr>
          <w:rFonts w:ascii="Arial" w:hAnsi="Arial" w:cs="Arial"/>
          <w:color w:val="141760"/>
          <w:sz w:val="24"/>
          <w:szCs w:val="24"/>
        </w:rPr>
        <w:t> </w:t>
      </w:r>
    </w:p>
    <w:p w:rsidR="00BE13CE" w:rsidRPr="003B67FC" w:rsidRDefault="00BE13CE" w:rsidP="00BE13CE">
      <w:pPr>
        <w:widowControl w:val="0"/>
        <w:rPr>
          <w:rFonts w:ascii="Arial" w:hAnsi="Arial" w:cs="Arial"/>
          <w:b/>
          <w:bCs/>
          <w:color w:val="00B0F0"/>
          <w:sz w:val="24"/>
          <w:szCs w:val="24"/>
        </w:rPr>
      </w:pPr>
      <w:r w:rsidRPr="003B67FC">
        <w:rPr>
          <w:rFonts w:ascii="Arial" w:hAnsi="Arial" w:cs="Arial"/>
          <w:b/>
          <w:bCs/>
          <w:color w:val="00B0F0"/>
          <w:sz w:val="24"/>
          <w:szCs w:val="24"/>
        </w:rPr>
        <w:t>Overcoming barriers</w:t>
      </w:r>
    </w:p>
    <w:p w:rsidR="00BE13CE" w:rsidRPr="003B67FC" w:rsidRDefault="00BE13CE" w:rsidP="00BE13CE">
      <w:pPr>
        <w:widowControl w:val="0"/>
        <w:rPr>
          <w:rFonts w:ascii="Arial" w:hAnsi="Arial" w:cs="Arial"/>
          <w:color w:val="141760"/>
          <w:sz w:val="24"/>
          <w:szCs w:val="24"/>
        </w:rPr>
      </w:pPr>
      <w:r w:rsidRPr="003B67FC">
        <w:rPr>
          <w:rFonts w:ascii="Arial" w:hAnsi="Arial" w:cs="Arial"/>
          <w:color w:val="141760"/>
          <w:sz w:val="24"/>
          <w:szCs w:val="24"/>
        </w:rPr>
        <w:t> </w:t>
      </w:r>
    </w:p>
    <w:p w:rsidR="00BE13CE" w:rsidRPr="003B67FC" w:rsidRDefault="00BE13CE" w:rsidP="00BE13CE">
      <w:pPr>
        <w:widowControl w:val="0"/>
        <w:rPr>
          <w:rFonts w:ascii="Arial" w:hAnsi="Arial" w:cs="Arial"/>
          <w:color w:val="141760"/>
          <w:sz w:val="24"/>
          <w:szCs w:val="24"/>
        </w:rPr>
      </w:pPr>
      <w:r w:rsidRPr="003B67FC">
        <w:rPr>
          <w:rFonts w:ascii="Arial" w:hAnsi="Arial" w:cs="Arial"/>
          <w:color w:val="141760"/>
          <w:sz w:val="24"/>
          <w:szCs w:val="24"/>
        </w:rPr>
        <w:t>In Chapter 12 the Code also explains “What constitutes the barriers which can impact on an individual’s ability to engage and fully participate”:</w:t>
      </w:r>
    </w:p>
    <w:p w:rsidR="00BE13CE" w:rsidRPr="003B67FC" w:rsidRDefault="00BE13CE" w:rsidP="00BE13CE">
      <w:pPr>
        <w:widowControl w:val="0"/>
        <w:rPr>
          <w:rFonts w:ascii="Arial" w:hAnsi="Arial" w:cs="Arial"/>
          <w:color w:val="141760"/>
          <w:sz w:val="24"/>
          <w:szCs w:val="24"/>
        </w:rPr>
      </w:pPr>
      <w:r w:rsidRPr="003B67FC">
        <w:rPr>
          <w:rFonts w:ascii="Arial" w:hAnsi="Arial" w:cs="Arial"/>
          <w:color w:val="141760"/>
          <w:sz w:val="24"/>
          <w:szCs w:val="24"/>
        </w:rPr>
        <w:t> </w:t>
      </w:r>
    </w:p>
    <w:p w:rsidR="00BE13CE" w:rsidRPr="003B67FC" w:rsidRDefault="003B67FC" w:rsidP="00BE13CE">
      <w:pPr>
        <w:widowControl w:val="0"/>
        <w:rPr>
          <w:rFonts w:ascii="Arial" w:hAnsi="Arial" w:cs="Arial"/>
          <w:color w:val="141760"/>
          <w:sz w:val="24"/>
          <w:szCs w:val="24"/>
        </w:rPr>
      </w:pPr>
      <w:r>
        <w:rPr>
          <w:rFonts w:ascii="Arial" w:hAnsi="Arial" w:cs="Arial"/>
          <w:color w:val="141760"/>
          <w:sz w:val="24"/>
          <w:szCs w:val="24"/>
        </w:rPr>
        <w:t xml:space="preserve">Para </w:t>
      </w:r>
      <w:r w:rsidR="00BE13CE" w:rsidRPr="003B67FC">
        <w:rPr>
          <w:rFonts w:ascii="Arial" w:hAnsi="Arial" w:cs="Arial"/>
          <w:color w:val="141760"/>
          <w:sz w:val="24"/>
          <w:szCs w:val="24"/>
        </w:rPr>
        <w:t xml:space="preserve">55. Local authorities must in partnership </w:t>
      </w:r>
      <w:r w:rsidR="00E44623" w:rsidRPr="003B67FC">
        <w:rPr>
          <w:rFonts w:ascii="Arial" w:hAnsi="Arial" w:cs="Arial"/>
          <w:color w:val="141760"/>
          <w:sz w:val="24"/>
          <w:szCs w:val="24"/>
        </w:rPr>
        <w:t xml:space="preserve">with each individual, consider </w:t>
      </w:r>
      <w:r w:rsidR="00BE13CE" w:rsidRPr="003B67FC">
        <w:rPr>
          <w:rFonts w:ascii="Arial" w:hAnsi="Arial" w:cs="Arial"/>
          <w:color w:val="141760"/>
          <w:sz w:val="24"/>
          <w:szCs w:val="24"/>
        </w:rPr>
        <w:t>whether that individual is likely to experi</w:t>
      </w:r>
      <w:r w:rsidR="00E44623" w:rsidRPr="003B67FC">
        <w:rPr>
          <w:rFonts w:ascii="Arial" w:hAnsi="Arial" w:cs="Arial"/>
          <w:color w:val="141760"/>
          <w:sz w:val="24"/>
          <w:szCs w:val="24"/>
        </w:rPr>
        <w:t xml:space="preserve">ence barriers to participating </w:t>
      </w:r>
      <w:r w:rsidR="00BE13CE" w:rsidRPr="003B67FC">
        <w:rPr>
          <w:rFonts w:ascii="Arial" w:hAnsi="Arial" w:cs="Arial"/>
          <w:color w:val="141760"/>
          <w:sz w:val="24"/>
          <w:szCs w:val="24"/>
        </w:rPr>
        <w:t>fully in determining their well-being outco</w:t>
      </w:r>
      <w:r w:rsidR="00E44623" w:rsidRPr="003B67FC">
        <w:rPr>
          <w:rFonts w:ascii="Arial" w:hAnsi="Arial" w:cs="Arial"/>
          <w:color w:val="141760"/>
          <w:sz w:val="24"/>
          <w:szCs w:val="24"/>
        </w:rPr>
        <w:t xml:space="preserve">mes, and reach a conclusion on </w:t>
      </w:r>
      <w:r w:rsidR="00BE13CE" w:rsidRPr="003B67FC">
        <w:rPr>
          <w:rFonts w:ascii="Arial" w:hAnsi="Arial" w:cs="Arial"/>
          <w:color w:val="141760"/>
          <w:sz w:val="24"/>
          <w:szCs w:val="24"/>
        </w:rPr>
        <w:t>their needs for advocacy support. Key ba</w:t>
      </w:r>
      <w:r w:rsidR="00E44623" w:rsidRPr="003B67FC">
        <w:rPr>
          <w:rFonts w:ascii="Arial" w:hAnsi="Arial" w:cs="Arial"/>
          <w:color w:val="141760"/>
          <w:sz w:val="24"/>
          <w:szCs w:val="24"/>
        </w:rPr>
        <w:t xml:space="preserve">rriers will include issues and </w:t>
      </w:r>
      <w:r w:rsidR="00BE13CE" w:rsidRPr="003B67FC">
        <w:rPr>
          <w:rFonts w:ascii="Arial" w:hAnsi="Arial" w:cs="Arial"/>
          <w:color w:val="141760"/>
          <w:sz w:val="24"/>
          <w:szCs w:val="24"/>
        </w:rPr>
        <w:t>situations that will impair individuals’ ability to:</w:t>
      </w:r>
    </w:p>
    <w:p w:rsidR="00BE13CE" w:rsidRPr="003B67FC" w:rsidRDefault="00BE13CE" w:rsidP="00BE13CE">
      <w:pPr>
        <w:widowControl w:val="0"/>
        <w:rPr>
          <w:rFonts w:ascii="Arial" w:hAnsi="Arial" w:cs="Arial"/>
          <w:color w:val="141760"/>
          <w:sz w:val="24"/>
          <w:szCs w:val="24"/>
        </w:rPr>
      </w:pPr>
      <w:r w:rsidRPr="003B67FC">
        <w:rPr>
          <w:rFonts w:ascii="Arial" w:hAnsi="Arial" w:cs="Arial"/>
          <w:color w:val="141760"/>
          <w:sz w:val="24"/>
          <w:szCs w:val="24"/>
        </w:rPr>
        <w:t> </w:t>
      </w:r>
    </w:p>
    <w:p w:rsidR="00BE13CE" w:rsidRPr="003B67FC" w:rsidRDefault="00BE13CE" w:rsidP="003B67FC">
      <w:pPr>
        <w:pStyle w:val="ListParagraph"/>
        <w:widowControl w:val="0"/>
        <w:numPr>
          <w:ilvl w:val="0"/>
          <w:numId w:val="3"/>
        </w:numPr>
        <w:rPr>
          <w:rFonts w:ascii="Arial" w:hAnsi="Arial" w:cs="Arial"/>
          <w:b/>
          <w:color w:val="141760"/>
          <w:sz w:val="24"/>
          <w:szCs w:val="24"/>
        </w:rPr>
      </w:pPr>
      <w:r w:rsidRPr="003B67FC">
        <w:rPr>
          <w:rFonts w:ascii="Arial" w:hAnsi="Arial" w:cs="Arial"/>
          <w:b/>
          <w:color w:val="141760"/>
          <w:sz w:val="24"/>
          <w:szCs w:val="24"/>
        </w:rPr>
        <w:t>understand relevant information</w:t>
      </w:r>
    </w:p>
    <w:p w:rsidR="00BE13CE" w:rsidRPr="003B67FC" w:rsidRDefault="00BE13CE" w:rsidP="003B67FC">
      <w:pPr>
        <w:pStyle w:val="ListParagraph"/>
        <w:widowControl w:val="0"/>
        <w:numPr>
          <w:ilvl w:val="0"/>
          <w:numId w:val="3"/>
        </w:numPr>
        <w:rPr>
          <w:rFonts w:ascii="Arial" w:hAnsi="Arial" w:cs="Arial"/>
          <w:b/>
          <w:color w:val="141760"/>
          <w:sz w:val="24"/>
          <w:szCs w:val="24"/>
        </w:rPr>
      </w:pPr>
      <w:r w:rsidRPr="003B67FC">
        <w:rPr>
          <w:rFonts w:ascii="Arial" w:hAnsi="Arial" w:cs="Arial"/>
          <w:b/>
          <w:color w:val="141760"/>
          <w:sz w:val="24"/>
          <w:szCs w:val="24"/>
        </w:rPr>
        <w:t>retain information</w:t>
      </w:r>
    </w:p>
    <w:p w:rsidR="003B67FC" w:rsidRDefault="00BE13CE" w:rsidP="003B67FC">
      <w:pPr>
        <w:pStyle w:val="ListParagraph"/>
        <w:widowControl w:val="0"/>
        <w:numPr>
          <w:ilvl w:val="0"/>
          <w:numId w:val="3"/>
        </w:numPr>
        <w:rPr>
          <w:rFonts w:ascii="Arial" w:hAnsi="Arial" w:cs="Arial"/>
          <w:b/>
          <w:color w:val="141760"/>
          <w:sz w:val="24"/>
          <w:szCs w:val="24"/>
        </w:rPr>
      </w:pPr>
      <w:r w:rsidRPr="003B67FC">
        <w:rPr>
          <w:rFonts w:ascii="Arial" w:hAnsi="Arial" w:cs="Arial"/>
          <w:b/>
          <w:color w:val="141760"/>
          <w:sz w:val="24"/>
          <w:szCs w:val="24"/>
        </w:rPr>
        <w:t>use or weigh information</w:t>
      </w:r>
    </w:p>
    <w:p w:rsidR="00BF15D4" w:rsidRPr="003B67FC" w:rsidRDefault="00BE13CE" w:rsidP="003B67FC">
      <w:pPr>
        <w:pStyle w:val="ListParagraph"/>
        <w:widowControl w:val="0"/>
        <w:numPr>
          <w:ilvl w:val="0"/>
          <w:numId w:val="3"/>
        </w:numPr>
        <w:rPr>
          <w:rFonts w:ascii="Arial" w:hAnsi="Arial" w:cs="Arial"/>
          <w:b/>
          <w:color w:val="141760"/>
          <w:sz w:val="24"/>
          <w:szCs w:val="24"/>
        </w:rPr>
      </w:pPr>
      <w:r w:rsidRPr="003B67FC">
        <w:rPr>
          <w:rFonts w:ascii="Arial" w:hAnsi="Arial" w:cs="Arial"/>
          <w:b/>
          <w:color w:val="141760"/>
          <w:sz w:val="24"/>
          <w:szCs w:val="24"/>
        </w:rPr>
        <w:t>communicate their views, wishes and feelings</w:t>
      </w:r>
      <w:r w:rsidRPr="003B67FC">
        <w:rPr>
          <w:rFonts w:ascii="Arial" w:hAnsi="Arial" w:cs="Arial"/>
          <w:color w:val="141760"/>
          <w:sz w:val="24"/>
          <w:szCs w:val="24"/>
        </w:rPr>
        <w:t>.</w:t>
      </w:r>
      <w:r w:rsidRPr="003B67FC">
        <w:rPr>
          <w:rFonts w:ascii="Arial" w:hAnsi="Arial" w:cs="Arial"/>
          <w:color w:val="141760"/>
          <w:sz w:val="16"/>
          <w:szCs w:val="16"/>
          <w:vertAlign w:val="superscript"/>
        </w:rPr>
        <w:t>3</w:t>
      </w:r>
    </w:p>
    <w:p w:rsidR="00E44623" w:rsidRDefault="00BE13CE" w:rsidP="00BE13CE">
      <w:pPr>
        <w:widowControl w:val="0"/>
        <w:rPr>
          <w:rFonts w:ascii="Arial" w:hAnsi="Arial" w:cs="Arial"/>
          <w:color w:val="141760"/>
          <w:sz w:val="24"/>
          <w:szCs w:val="24"/>
        </w:rPr>
      </w:pPr>
      <w:r w:rsidRPr="003B67FC">
        <w:rPr>
          <w:rFonts w:ascii="Arial" w:hAnsi="Arial" w:cs="Arial"/>
          <w:color w:val="141760"/>
          <w:sz w:val="24"/>
          <w:szCs w:val="24"/>
        </w:rPr>
        <w:t> </w:t>
      </w:r>
    </w:p>
    <w:p w:rsidR="003B67FC" w:rsidRDefault="003B67FC" w:rsidP="00BE13CE">
      <w:pPr>
        <w:widowControl w:val="0"/>
        <w:rPr>
          <w:rFonts w:ascii="Arial" w:hAnsi="Arial" w:cs="Arial"/>
          <w:color w:val="141760"/>
          <w:sz w:val="24"/>
          <w:szCs w:val="24"/>
        </w:rPr>
      </w:pPr>
    </w:p>
    <w:p w:rsidR="003B67FC" w:rsidRPr="003B67FC" w:rsidRDefault="003B67FC" w:rsidP="00BE13CE">
      <w:pPr>
        <w:widowControl w:val="0"/>
        <w:rPr>
          <w:rFonts w:ascii="Arial" w:hAnsi="Arial" w:cs="Arial"/>
          <w:color w:val="141760"/>
          <w:sz w:val="24"/>
          <w:szCs w:val="24"/>
        </w:rPr>
      </w:pPr>
    </w:p>
    <w:p w:rsidR="00BF15D4" w:rsidRPr="003B67FC" w:rsidRDefault="00BF15D4" w:rsidP="00BE13CE">
      <w:pPr>
        <w:widowControl w:val="0"/>
        <w:rPr>
          <w:rFonts w:ascii="Arial" w:hAnsi="Arial" w:cs="Arial"/>
          <w:b/>
          <w:bCs/>
          <w:color w:val="00B0F0"/>
          <w:sz w:val="24"/>
          <w:szCs w:val="24"/>
        </w:rPr>
      </w:pPr>
    </w:p>
    <w:p w:rsidR="00BE13CE" w:rsidRPr="003B67FC" w:rsidRDefault="00BE13CE" w:rsidP="00BE13CE">
      <w:pPr>
        <w:widowControl w:val="0"/>
        <w:rPr>
          <w:rFonts w:ascii="Arial" w:hAnsi="Arial" w:cs="Arial"/>
          <w:b/>
          <w:bCs/>
          <w:color w:val="00B0F0"/>
          <w:sz w:val="24"/>
          <w:szCs w:val="24"/>
        </w:rPr>
      </w:pPr>
      <w:r w:rsidRPr="003B67FC">
        <w:rPr>
          <w:rFonts w:ascii="Arial" w:hAnsi="Arial" w:cs="Arial"/>
          <w:b/>
          <w:bCs/>
          <w:color w:val="00B0F0"/>
          <w:sz w:val="24"/>
          <w:szCs w:val="24"/>
        </w:rPr>
        <w:lastRenderedPageBreak/>
        <w:t>Appropriate individual</w:t>
      </w:r>
    </w:p>
    <w:p w:rsidR="00BE13CE" w:rsidRPr="003B67FC" w:rsidRDefault="00BE13CE" w:rsidP="00BE13CE">
      <w:pPr>
        <w:widowControl w:val="0"/>
        <w:rPr>
          <w:rFonts w:ascii="Arial" w:hAnsi="Arial" w:cs="Arial"/>
          <w:color w:val="141760"/>
          <w:sz w:val="24"/>
          <w:szCs w:val="24"/>
        </w:rPr>
      </w:pPr>
      <w:r w:rsidRPr="003B67FC">
        <w:rPr>
          <w:rFonts w:ascii="Arial" w:hAnsi="Arial" w:cs="Arial"/>
          <w:color w:val="141760"/>
          <w:sz w:val="24"/>
          <w:szCs w:val="24"/>
        </w:rPr>
        <w:t> </w:t>
      </w:r>
    </w:p>
    <w:p w:rsidR="00BE13CE" w:rsidRPr="003B67FC" w:rsidRDefault="00BE13CE" w:rsidP="00BE13CE">
      <w:pPr>
        <w:widowControl w:val="0"/>
        <w:rPr>
          <w:rFonts w:ascii="Arial" w:hAnsi="Arial" w:cs="Arial"/>
          <w:color w:val="141760"/>
          <w:sz w:val="24"/>
          <w:szCs w:val="24"/>
        </w:rPr>
      </w:pPr>
      <w:r w:rsidRPr="003B67FC">
        <w:rPr>
          <w:rFonts w:ascii="Arial" w:hAnsi="Arial" w:cs="Arial"/>
          <w:color w:val="141760"/>
          <w:sz w:val="24"/>
          <w:szCs w:val="24"/>
        </w:rPr>
        <w:t>The role of the “appropriate individual” is key to understanding what type of advocacy is required in individual cases. An appropriate individual is someone who can facilitate a person’s involvement in the assessment, care planning, review and safeguarding processes, but cannot be someone who:</w:t>
      </w:r>
    </w:p>
    <w:p w:rsidR="00BE13CE" w:rsidRPr="003B67FC" w:rsidRDefault="00BE13CE" w:rsidP="00BE13CE">
      <w:pPr>
        <w:widowControl w:val="0"/>
        <w:rPr>
          <w:rFonts w:ascii="Arial" w:hAnsi="Arial" w:cs="Arial"/>
          <w:color w:val="141760"/>
          <w:sz w:val="24"/>
          <w:szCs w:val="24"/>
        </w:rPr>
      </w:pPr>
      <w:r w:rsidRPr="003B67FC">
        <w:rPr>
          <w:rFonts w:ascii="Arial" w:hAnsi="Arial" w:cs="Arial"/>
          <w:color w:val="141760"/>
          <w:sz w:val="24"/>
          <w:szCs w:val="24"/>
        </w:rPr>
        <w:t> </w:t>
      </w:r>
    </w:p>
    <w:p w:rsidR="00BE13CE" w:rsidRPr="003B67FC" w:rsidRDefault="00BE13CE" w:rsidP="003B67FC">
      <w:pPr>
        <w:pStyle w:val="ListParagraph"/>
        <w:widowControl w:val="0"/>
        <w:numPr>
          <w:ilvl w:val="0"/>
          <w:numId w:val="3"/>
        </w:numPr>
        <w:rPr>
          <w:rFonts w:ascii="Arial" w:hAnsi="Arial" w:cs="Arial"/>
          <w:b/>
          <w:color w:val="141760"/>
          <w:sz w:val="24"/>
          <w:szCs w:val="24"/>
        </w:rPr>
      </w:pPr>
      <w:r w:rsidRPr="003B67FC">
        <w:rPr>
          <w:rFonts w:ascii="Arial" w:hAnsi="Arial" w:cs="Arial"/>
          <w:b/>
          <w:color w:val="141760"/>
          <w:sz w:val="24"/>
          <w:szCs w:val="24"/>
        </w:rPr>
        <w:t>the person does not want to support them</w:t>
      </w:r>
    </w:p>
    <w:p w:rsidR="00BE13CE" w:rsidRPr="003B67FC" w:rsidRDefault="00BE13CE" w:rsidP="003B67FC">
      <w:pPr>
        <w:pStyle w:val="ListParagraph"/>
        <w:widowControl w:val="0"/>
        <w:numPr>
          <w:ilvl w:val="0"/>
          <w:numId w:val="3"/>
        </w:numPr>
        <w:rPr>
          <w:rFonts w:ascii="Arial" w:hAnsi="Arial" w:cs="Arial"/>
          <w:b/>
          <w:color w:val="141760"/>
          <w:sz w:val="24"/>
          <w:szCs w:val="24"/>
        </w:rPr>
      </w:pPr>
      <w:r w:rsidRPr="003B67FC">
        <w:rPr>
          <w:rFonts w:ascii="Arial" w:hAnsi="Arial" w:cs="Arial"/>
          <w:b/>
          <w:color w:val="141760"/>
          <w:sz w:val="24"/>
          <w:szCs w:val="24"/>
        </w:rPr>
        <w:t>is unlikely to be able to, or available to, adequately support them, or</w:t>
      </w:r>
    </w:p>
    <w:p w:rsidR="00BE13CE" w:rsidRPr="003B67FC" w:rsidRDefault="00BE13CE" w:rsidP="003B67FC">
      <w:pPr>
        <w:pStyle w:val="ListParagraph"/>
        <w:widowControl w:val="0"/>
        <w:numPr>
          <w:ilvl w:val="0"/>
          <w:numId w:val="3"/>
        </w:numPr>
        <w:rPr>
          <w:rFonts w:ascii="Arial" w:hAnsi="Arial" w:cs="Arial"/>
          <w:b/>
          <w:color w:val="141760"/>
          <w:sz w:val="24"/>
          <w:szCs w:val="24"/>
        </w:rPr>
      </w:pPr>
      <w:r w:rsidRPr="003B67FC">
        <w:rPr>
          <w:rFonts w:ascii="Arial" w:hAnsi="Arial" w:cs="Arial"/>
          <w:b/>
          <w:color w:val="141760"/>
          <w:sz w:val="24"/>
          <w:szCs w:val="24"/>
        </w:rPr>
        <w:t>is implicated in a safeguarding enquiry.</w:t>
      </w:r>
      <w:r w:rsidRPr="003B67FC">
        <w:rPr>
          <w:rFonts w:ascii="Arial" w:hAnsi="Arial" w:cs="Arial"/>
          <w:b/>
          <w:color w:val="141760"/>
          <w:sz w:val="16"/>
          <w:szCs w:val="16"/>
          <w:vertAlign w:val="superscript"/>
        </w:rPr>
        <w:t>4</w:t>
      </w:r>
    </w:p>
    <w:p w:rsidR="00BE13CE" w:rsidRPr="003B67FC" w:rsidRDefault="00BE13CE" w:rsidP="00BE13CE">
      <w:pPr>
        <w:widowControl w:val="0"/>
        <w:rPr>
          <w:rFonts w:ascii="Arial" w:hAnsi="Arial" w:cs="Arial"/>
          <w:color w:val="141760"/>
          <w:sz w:val="24"/>
          <w:szCs w:val="24"/>
        </w:rPr>
      </w:pPr>
      <w:r w:rsidRPr="003B67FC">
        <w:rPr>
          <w:rFonts w:ascii="Arial" w:hAnsi="Arial" w:cs="Arial"/>
          <w:color w:val="141760"/>
          <w:sz w:val="24"/>
          <w:szCs w:val="24"/>
        </w:rPr>
        <w:t> </w:t>
      </w:r>
    </w:p>
    <w:p w:rsidR="00BE13CE" w:rsidRPr="003B67FC" w:rsidRDefault="00BE13CE" w:rsidP="00BE13CE">
      <w:pPr>
        <w:widowControl w:val="0"/>
        <w:rPr>
          <w:rFonts w:ascii="Arial" w:hAnsi="Arial" w:cs="Arial"/>
          <w:color w:val="141760"/>
          <w:sz w:val="24"/>
          <w:szCs w:val="24"/>
        </w:rPr>
      </w:pPr>
      <w:r w:rsidRPr="003B67FC">
        <w:rPr>
          <w:rFonts w:ascii="Arial" w:hAnsi="Arial" w:cs="Arial"/>
          <w:color w:val="141760"/>
          <w:sz w:val="24"/>
          <w:szCs w:val="24"/>
        </w:rPr>
        <w:t>The appropriate individual may be a family member, friend, carer, or anyone providing a non-professional form of independent advocacy, as long as they meet the above criteria. Crucially, they must have sufficient understanding of local authority processes to be able to support the person’s participation in determining their well-being outcomes and obtaining the care and support they need.</w:t>
      </w:r>
    </w:p>
    <w:p w:rsidR="00BE13CE" w:rsidRPr="003B67FC" w:rsidRDefault="00BE13CE" w:rsidP="00BE13CE">
      <w:pPr>
        <w:widowControl w:val="0"/>
        <w:rPr>
          <w:rFonts w:ascii="Arial" w:hAnsi="Arial" w:cs="Arial"/>
          <w:color w:val="141760"/>
          <w:sz w:val="24"/>
          <w:szCs w:val="24"/>
        </w:rPr>
      </w:pPr>
      <w:r w:rsidRPr="003B67FC">
        <w:rPr>
          <w:rFonts w:ascii="Arial" w:hAnsi="Arial" w:cs="Arial"/>
          <w:color w:val="141760"/>
          <w:sz w:val="24"/>
          <w:szCs w:val="24"/>
        </w:rPr>
        <w:t> </w:t>
      </w:r>
    </w:p>
    <w:p w:rsidR="00BE13CE" w:rsidRPr="003B67FC" w:rsidRDefault="00BE13CE" w:rsidP="00BE13CE">
      <w:pPr>
        <w:widowControl w:val="0"/>
        <w:rPr>
          <w:rFonts w:ascii="Arial" w:hAnsi="Arial" w:cs="Arial"/>
          <w:color w:val="141760"/>
          <w:sz w:val="24"/>
          <w:szCs w:val="24"/>
        </w:rPr>
      </w:pPr>
      <w:r w:rsidRPr="003B67FC">
        <w:rPr>
          <w:rFonts w:ascii="Arial" w:hAnsi="Arial" w:cs="Arial"/>
          <w:color w:val="141760"/>
          <w:sz w:val="24"/>
          <w:szCs w:val="24"/>
        </w:rPr>
        <w:t xml:space="preserve">If there is no appropriate individual available, the person must be referred to a statutory </w:t>
      </w:r>
      <w:r w:rsidR="00054B79">
        <w:rPr>
          <w:rFonts w:ascii="Arial" w:hAnsi="Arial" w:cs="Arial"/>
          <w:color w:val="141760"/>
          <w:sz w:val="24"/>
          <w:szCs w:val="24"/>
        </w:rPr>
        <w:t xml:space="preserve"> </w:t>
      </w:r>
      <w:r w:rsidRPr="003B67FC">
        <w:rPr>
          <w:rFonts w:ascii="Arial" w:hAnsi="Arial" w:cs="Arial"/>
          <w:color w:val="141760"/>
          <w:sz w:val="24"/>
          <w:szCs w:val="24"/>
        </w:rPr>
        <w:t>IPA service.</w:t>
      </w:r>
    </w:p>
    <w:p w:rsidR="00BE13CE" w:rsidRPr="003B67FC" w:rsidRDefault="00BE13CE" w:rsidP="00BE13CE">
      <w:pPr>
        <w:widowControl w:val="0"/>
        <w:rPr>
          <w:rFonts w:ascii="Arial" w:hAnsi="Arial" w:cs="Arial"/>
          <w:color w:val="141760"/>
          <w:sz w:val="24"/>
          <w:szCs w:val="24"/>
        </w:rPr>
      </w:pPr>
      <w:r w:rsidRPr="003B67FC">
        <w:rPr>
          <w:rFonts w:ascii="Arial" w:hAnsi="Arial" w:cs="Arial"/>
          <w:color w:val="141760"/>
          <w:sz w:val="24"/>
          <w:szCs w:val="24"/>
        </w:rPr>
        <w:t> </w:t>
      </w:r>
    </w:p>
    <w:p w:rsidR="00BE13CE" w:rsidRPr="003B67FC" w:rsidRDefault="00BE13CE" w:rsidP="00BE13CE">
      <w:pPr>
        <w:widowControl w:val="0"/>
        <w:rPr>
          <w:rFonts w:ascii="Arial" w:hAnsi="Arial" w:cs="Arial"/>
          <w:b/>
          <w:bCs/>
          <w:color w:val="00B0F0"/>
          <w:sz w:val="24"/>
          <w:szCs w:val="24"/>
        </w:rPr>
      </w:pPr>
      <w:r w:rsidRPr="003B67FC">
        <w:rPr>
          <w:rFonts w:ascii="Arial" w:hAnsi="Arial" w:cs="Arial"/>
          <w:b/>
          <w:bCs/>
          <w:color w:val="00B0F0"/>
          <w:sz w:val="24"/>
          <w:szCs w:val="24"/>
        </w:rPr>
        <w:t>I</w:t>
      </w:r>
      <w:r w:rsidR="00E44623" w:rsidRPr="003B67FC">
        <w:rPr>
          <w:rFonts w:ascii="Arial" w:hAnsi="Arial" w:cs="Arial"/>
          <w:b/>
          <w:bCs/>
          <w:color w:val="00B0F0"/>
          <w:sz w:val="24"/>
          <w:szCs w:val="24"/>
        </w:rPr>
        <w:t xml:space="preserve">nformation </w:t>
      </w:r>
      <w:r w:rsidRPr="003B67FC">
        <w:rPr>
          <w:rFonts w:ascii="Arial" w:hAnsi="Arial" w:cs="Arial"/>
          <w:b/>
          <w:bCs/>
          <w:color w:val="00B0F0"/>
          <w:sz w:val="24"/>
          <w:szCs w:val="24"/>
        </w:rPr>
        <w:t>A</w:t>
      </w:r>
      <w:r w:rsidR="00E44623" w:rsidRPr="003B67FC">
        <w:rPr>
          <w:rFonts w:ascii="Arial" w:hAnsi="Arial" w:cs="Arial"/>
          <w:b/>
          <w:bCs/>
          <w:color w:val="00B0F0"/>
          <w:sz w:val="24"/>
          <w:szCs w:val="24"/>
        </w:rPr>
        <w:t xml:space="preserve">dvice and </w:t>
      </w:r>
      <w:r w:rsidRPr="003B67FC">
        <w:rPr>
          <w:rFonts w:ascii="Arial" w:hAnsi="Arial" w:cs="Arial"/>
          <w:b/>
          <w:bCs/>
          <w:color w:val="00B0F0"/>
          <w:sz w:val="24"/>
          <w:szCs w:val="24"/>
        </w:rPr>
        <w:t>A</w:t>
      </w:r>
      <w:r w:rsidR="00E44623" w:rsidRPr="003B67FC">
        <w:rPr>
          <w:rFonts w:ascii="Arial" w:hAnsi="Arial" w:cs="Arial"/>
          <w:b/>
          <w:bCs/>
          <w:color w:val="00B0F0"/>
          <w:sz w:val="24"/>
          <w:szCs w:val="24"/>
        </w:rPr>
        <w:t>ssistance</w:t>
      </w:r>
      <w:r w:rsidRPr="003B67FC">
        <w:rPr>
          <w:rFonts w:ascii="Arial" w:hAnsi="Arial" w:cs="Arial"/>
          <w:b/>
          <w:bCs/>
          <w:color w:val="00B0F0"/>
          <w:sz w:val="24"/>
          <w:szCs w:val="24"/>
        </w:rPr>
        <w:t xml:space="preserve"> service </w:t>
      </w:r>
      <w:r w:rsidR="00E44623" w:rsidRPr="003B67FC">
        <w:rPr>
          <w:rFonts w:ascii="Arial" w:hAnsi="Arial" w:cs="Arial"/>
          <w:b/>
          <w:bCs/>
          <w:color w:val="00B0F0"/>
          <w:sz w:val="24"/>
          <w:szCs w:val="24"/>
        </w:rPr>
        <w:t>(IAA)</w:t>
      </w:r>
    </w:p>
    <w:p w:rsidR="00BE13CE" w:rsidRPr="003B67FC" w:rsidRDefault="00BE13CE" w:rsidP="00E44623">
      <w:pPr>
        <w:pStyle w:val="NoSpacing"/>
        <w:rPr>
          <w:rFonts w:ascii="Arial" w:hAnsi="Arial" w:cs="Arial"/>
        </w:rPr>
      </w:pPr>
      <w:r w:rsidRPr="003B67FC">
        <w:rPr>
          <w:rFonts w:ascii="Arial" w:hAnsi="Arial" w:cs="Arial"/>
        </w:rPr>
        <w:t> </w:t>
      </w:r>
    </w:p>
    <w:p w:rsidR="00BE13CE" w:rsidRPr="003B67FC" w:rsidRDefault="00BE13CE" w:rsidP="00BE13CE">
      <w:pPr>
        <w:widowControl w:val="0"/>
        <w:rPr>
          <w:rFonts w:ascii="Arial" w:hAnsi="Arial" w:cs="Arial"/>
          <w:sz w:val="24"/>
          <w:szCs w:val="24"/>
        </w:rPr>
      </w:pPr>
      <w:r w:rsidRPr="003B67FC">
        <w:rPr>
          <w:rFonts w:ascii="Arial" w:hAnsi="Arial" w:cs="Arial"/>
          <w:color w:val="141760"/>
          <w:sz w:val="24"/>
          <w:szCs w:val="24"/>
        </w:rPr>
        <w:t>For many people with care and support needs, IAA services will be their first point of contact with social services.</w:t>
      </w:r>
      <w:r w:rsidRPr="003B67FC">
        <w:rPr>
          <w:rFonts w:ascii="Arial" w:hAnsi="Arial" w:cs="Arial"/>
          <w:color w:val="141760"/>
          <w:sz w:val="16"/>
          <w:szCs w:val="16"/>
          <w:vertAlign w:val="superscript"/>
        </w:rPr>
        <w:t>5</w:t>
      </w:r>
      <w:r w:rsidRPr="003B67FC">
        <w:rPr>
          <w:rFonts w:ascii="Arial" w:hAnsi="Arial" w:cs="Arial"/>
          <w:color w:val="141760"/>
          <w:sz w:val="24"/>
          <w:szCs w:val="24"/>
        </w:rPr>
        <w:t xml:space="preserve"> </w:t>
      </w:r>
    </w:p>
    <w:p w:rsidR="00BE13CE" w:rsidRPr="003B67FC" w:rsidRDefault="00BE13CE" w:rsidP="00BE13CE">
      <w:pPr>
        <w:widowControl w:val="0"/>
        <w:rPr>
          <w:rFonts w:ascii="Arial" w:hAnsi="Arial" w:cs="Arial"/>
          <w:color w:val="141760"/>
          <w:sz w:val="24"/>
          <w:szCs w:val="24"/>
        </w:rPr>
      </w:pPr>
    </w:p>
    <w:p w:rsidR="00BE13CE" w:rsidRPr="003B67FC" w:rsidRDefault="00BE13CE" w:rsidP="00BE13CE">
      <w:pPr>
        <w:widowControl w:val="0"/>
        <w:rPr>
          <w:rFonts w:ascii="Arial" w:hAnsi="Arial" w:cs="Arial"/>
          <w:color w:val="141760"/>
          <w:sz w:val="24"/>
          <w:szCs w:val="24"/>
        </w:rPr>
      </w:pPr>
      <w:r w:rsidRPr="003B67FC">
        <w:rPr>
          <w:rFonts w:ascii="Arial" w:hAnsi="Arial" w:cs="Arial"/>
          <w:color w:val="141760"/>
          <w:sz w:val="24"/>
          <w:szCs w:val="24"/>
        </w:rPr>
        <w:t xml:space="preserve">The Part 2 Code of Practice (General Functions) recognises that: </w:t>
      </w:r>
    </w:p>
    <w:p w:rsidR="00BE13CE" w:rsidRPr="003B67FC" w:rsidRDefault="00BE13CE" w:rsidP="00BE13CE">
      <w:pPr>
        <w:widowControl w:val="0"/>
        <w:rPr>
          <w:rFonts w:ascii="Arial" w:hAnsi="Arial" w:cs="Arial"/>
          <w:color w:val="141760"/>
          <w:sz w:val="24"/>
          <w:szCs w:val="24"/>
        </w:rPr>
      </w:pPr>
      <w:r w:rsidRPr="003B67FC">
        <w:rPr>
          <w:rFonts w:ascii="Arial" w:hAnsi="Arial" w:cs="Arial"/>
          <w:color w:val="141760"/>
          <w:sz w:val="24"/>
          <w:szCs w:val="24"/>
        </w:rPr>
        <w:t> </w:t>
      </w:r>
    </w:p>
    <w:p w:rsidR="00BE13CE" w:rsidRPr="003B67FC" w:rsidRDefault="003B67FC" w:rsidP="00E44623">
      <w:pPr>
        <w:widowControl w:val="0"/>
        <w:rPr>
          <w:rFonts w:ascii="Arial" w:hAnsi="Arial" w:cs="Arial"/>
          <w:color w:val="141760"/>
          <w:sz w:val="24"/>
          <w:szCs w:val="24"/>
        </w:rPr>
      </w:pPr>
      <w:r>
        <w:rPr>
          <w:rFonts w:ascii="Arial" w:hAnsi="Arial" w:cs="Arial"/>
          <w:color w:val="141760"/>
          <w:sz w:val="24"/>
          <w:szCs w:val="24"/>
        </w:rPr>
        <w:t xml:space="preserve">Para </w:t>
      </w:r>
      <w:r w:rsidR="00BE13CE" w:rsidRPr="003B67FC">
        <w:rPr>
          <w:rFonts w:ascii="Arial" w:hAnsi="Arial" w:cs="Arial"/>
          <w:color w:val="141760"/>
          <w:sz w:val="24"/>
          <w:szCs w:val="24"/>
        </w:rPr>
        <w:t xml:space="preserve">327. Some people will require support to be able to make initial contact. </w:t>
      </w:r>
      <w:r>
        <w:rPr>
          <w:rFonts w:ascii="Arial" w:hAnsi="Arial" w:cs="Arial"/>
          <w:color w:val="141760"/>
          <w:sz w:val="24"/>
          <w:szCs w:val="24"/>
        </w:rPr>
        <w:t xml:space="preserve"> </w:t>
      </w:r>
      <w:r w:rsidR="00E44623" w:rsidRPr="003B67FC">
        <w:rPr>
          <w:rFonts w:ascii="Arial" w:hAnsi="Arial" w:cs="Arial"/>
          <w:color w:val="141760"/>
          <w:sz w:val="24"/>
          <w:szCs w:val="24"/>
        </w:rPr>
        <w:t xml:space="preserve">Local </w:t>
      </w:r>
      <w:r w:rsidR="00BE13CE" w:rsidRPr="003B67FC">
        <w:rPr>
          <w:rFonts w:ascii="Arial" w:hAnsi="Arial" w:cs="Arial"/>
          <w:color w:val="141760"/>
          <w:sz w:val="24"/>
          <w:szCs w:val="24"/>
        </w:rPr>
        <w:t>authorities must consider how best to</w:t>
      </w:r>
      <w:r w:rsidR="00E44623" w:rsidRPr="003B67FC">
        <w:rPr>
          <w:rFonts w:ascii="Arial" w:hAnsi="Arial" w:cs="Arial"/>
          <w:color w:val="141760"/>
          <w:sz w:val="24"/>
          <w:szCs w:val="24"/>
        </w:rPr>
        <w:t xml:space="preserve"> support individuals to ensure that the IAA </w:t>
      </w:r>
      <w:r w:rsidR="00BE13CE" w:rsidRPr="003B67FC">
        <w:rPr>
          <w:rFonts w:ascii="Arial" w:hAnsi="Arial" w:cs="Arial"/>
          <w:color w:val="141760"/>
          <w:sz w:val="24"/>
          <w:szCs w:val="24"/>
        </w:rPr>
        <w:t>service is accessible and that ap</w:t>
      </w:r>
      <w:r w:rsidR="00E44623" w:rsidRPr="003B67FC">
        <w:rPr>
          <w:rFonts w:ascii="Arial" w:hAnsi="Arial" w:cs="Arial"/>
          <w:color w:val="141760"/>
          <w:sz w:val="24"/>
          <w:szCs w:val="24"/>
        </w:rPr>
        <w:t>propriate assistance including advocacy is given</w:t>
      </w:r>
      <w:r w:rsidR="00BE13CE" w:rsidRPr="003B67FC">
        <w:rPr>
          <w:rFonts w:ascii="Arial" w:hAnsi="Arial" w:cs="Arial"/>
          <w:color w:val="141760"/>
          <w:sz w:val="24"/>
          <w:szCs w:val="24"/>
        </w:rPr>
        <w:t>.</w:t>
      </w:r>
      <w:r w:rsidR="00BE13CE" w:rsidRPr="003B67FC">
        <w:rPr>
          <w:rFonts w:ascii="Arial" w:hAnsi="Arial" w:cs="Arial"/>
          <w:color w:val="141760"/>
          <w:sz w:val="16"/>
          <w:szCs w:val="16"/>
          <w:vertAlign w:val="superscript"/>
        </w:rPr>
        <w:t>6</w:t>
      </w:r>
      <w:r w:rsidR="00BE13CE" w:rsidRPr="003B67FC">
        <w:rPr>
          <w:rFonts w:ascii="Arial" w:hAnsi="Arial" w:cs="Arial"/>
          <w:color w:val="141760"/>
          <w:sz w:val="24"/>
          <w:szCs w:val="24"/>
        </w:rPr>
        <w:t xml:space="preserve"> </w:t>
      </w:r>
    </w:p>
    <w:p w:rsidR="00BE13CE" w:rsidRPr="003B67FC" w:rsidRDefault="00BE13CE" w:rsidP="00BE13CE">
      <w:pPr>
        <w:widowControl w:val="0"/>
        <w:rPr>
          <w:rFonts w:ascii="Arial" w:hAnsi="Arial" w:cs="Arial"/>
          <w:color w:val="141760"/>
          <w:sz w:val="24"/>
          <w:szCs w:val="24"/>
        </w:rPr>
      </w:pPr>
      <w:r w:rsidRPr="003B67FC">
        <w:rPr>
          <w:rFonts w:ascii="Arial" w:hAnsi="Arial" w:cs="Arial"/>
          <w:color w:val="141760"/>
          <w:sz w:val="24"/>
          <w:szCs w:val="24"/>
        </w:rPr>
        <w:t> </w:t>
      </w:r>
    </w:p>
    <w:p w:rsidR="00BE13CE" w:rsidRPr="003B67FC" w:rsidRDefault="00BE13CE" w:rsidP="00BE13CE">
      <w:pPr>
        <w:widowControl w:val="0"/>
        <w:rPr>
          <w:rFonts w:ascii="Arial" w:hAnsi="Arial" w:cs="Arial"/>
          <w:color w:val="141760"/>
          <w:sz w:val="24"/>
          <w:szCs w:val="24"/>
        </w:rPr>
      </w:pPr>
      <w:r w:rsidRPr="003B67FC">
        <w:rPr>
          <w:rFonts w:ascii="Arial" w:hAnsi="Arial" w:cs="Arial"/>
          <w:color w:val="141760"/>
          <w:sz w:val="24"/>
          <w:szCs w:val="24"/>
        </w:rPr>
        <w:t>Thus front line staff working in IAA services have a critical role in ensuring that all individuals have access to independent advocacy if they need it. In view of this, local authorities are required to "ensure that staff within the service are suitably skilled to identify individuals who need an advocate, and that the service takes action to ensure those individuals are supported."</w:t>
      </w:r>
      <w:r w:rsidRPr="003B67FC">
        <w:rPr>
          <w:rFonts w:ascii="Arial" w:hAnsi="Arial" w:cs="Arial"/>
          <w:color w:val="141760"/>
          <w:sz w:val="16"/>
          <w:szCs w:val="16"/>
          <w:vertAlign w:val="superscript"/>
        </w:rPr>
        <w:t>7</w:t>
      </w:r>
    </w:p>
    <w:p w:rsidR="00BE13CE" w:rsidRPr="003B67FC" w:rsidRDefault="00BE13CE" w:rsidP="00BE13CE">
      <w:pPr>
        <w:widowControl w:val="0"/>
        <w:rPr>
          <w:rFonts w:ascii="Arial" w:hAnsi="Arial" w:cs="Arial"/>
          <w:color w:val="141760"/>
          <w:sz w:val="24"/>
          <w:szCs w:val="24"/>
        </w:rPr>
      </w:pPr>
      <w:r w:rsidRPr="003B67FC">
        <w:rPr>
          <w:rFonts w:ascii="Arial" w:hAnsi="Arial" w:cs="Arial"/>
          <w:color w:val="141760"/>
          <w:sz w:val="24"/>
          <w:szCs w:val="24"/>
        </w:rPr>
        <w:t> </w:t>
      </w:r>
    </w:p>
    <w:p w:rsidR="00BE13CE" w:rsidRPr="003B67FC" w:rsidRDefault="00BE13CE" w:rsidP="00BE13CE">
      <w:pPr>
        <w:widowControl w:val="0"/>
        <w:rPr>
          <w:rFonts w:ascii="Arial" w:hAnsi="Arial" w:cs="Arial"/>
          <w:color w:val="141760"/>
          <w:sz w:val="16"/>
          <w:szCs w:val="16"/>
          <w:vertAlign w:val="superscript"/>
        </w:rPr>
      </w:pPr>
      <w:r w:rsidRPr="003B67FC">
        <w:rPr>
          <w:rFonts w:ascii="Arial" w:hAnsi="Arial" w:cs="Arial"/>
          <w:color w:val="141760"/>
          <w:sz w:val="24"/>
          <w:szCs w:val="24"/>
        </w:rPr>
        <w:t>When considering individuals’ possible need for advocacy, IAA staff are expected to follow the decision pathway shown below.</w:t>
      </w:r>
      <w:r w:rsidRPr="003B67FC">
        <w:rPr>
          <w:rFonts w:ascii="Arial" w:hAnsi="Arial" w:cs="Arial"/>
          <w:color w:val="141760"/>
          <w:sz w:val="16"/>
          <w:szCs w:val="16"/>
          <w:vertAlign w:val="superscript"/>
        </w:rPr>
        <w:t>8</w:t>
      </w:r>
    </w:p>
    <w:p w:rsidR="00BE13CE" w:rsidRPr="003B67FC" w:rsidRDefault="00BE13CE" w:rsidP="00BE13CE">
      <w:pPr>
        <w:widowControl w:val="0"/>
        <w:rPr>
          <w:rFonts w:ascii="Arial" w:hAnsi="Arial" w:cs="Arial"/>
          <w:color w:val="141760"/>
          <w:sz w:val="24"/>
          <w:szCs w:val="24"/>
        </w:rPr>
      </w:pPr>
    </w:p>
    <w:p w:rsidR="00BE13CE" w:rsidRPr="003B67FC" w:rsidRDefault="00BE13CE" w:rsidP="00054B79">
      <w:pPr>
        <w:widowControl w:val="0"/>
        <w:jc w:val="center"/>
        <w:rPr>
          <w:rFonts w:ascii="Arial" w:hAnsi="Arial" w:cs="Arial"/>
          <w:sz w:val="24"/>
          <w:szCs w:val="24"/>
        </w:rPr>
      </w:pPr>
      <w:r w:rsidRPr="003B67FC">
        <w:rPr>
          <w:rFonts w:ascii="Arial" w:hAnsi="Arial" w:cs="Arial"/>
          <w:noProof/>
        </w:rPr>
        <w:lastRenderedPageBreak/>
        <w:drawing>
          <wp:inline distT="0" distB="0" distL="0" distR="0">
            <wp:extent cx="4524375" cy="3298875"/>
            <wp:effectExtent l="0" t="0" r="0" b="0"/>
            <wp:docPr id="1" name="Picture 2" descr="advocacy slide 42"/>
            <wp:cNvGraphicFramePr>
              <a:graphicFrameLocks xmlns:a="http://schemas.openxmlformats.org/drawingml/2006/main" noGrp="1" noChangeAspect="1"/>
            </wp:cNvGraphicFramePr>
            <a:graphic xmlns:a="http://schemas.openxmlformats.org/drawingml/2006/main">
              <a:graphicData uri="http://schemas.openxmlformats.org/drawingml/2006/picture">
                <pic:pic xmlns:pic="http://schemas.openxmlformats.org/drawingml/2006/picture">
                  <pic:nvPicPr>
                    <pic:cNvPr id="0" name="Picture 2" descr="advocacy slide 42"/>
                    <pic:cNvPicPr>
                      <a:picLocks noGrp="1" noChangeAspect="1" noChangeArrowheads="1"/>
                    </pic:cNvPicPr>
                  </pic:nvPicPr>
                  <pic:blipFill>
                    <a:blip r:embed="rId12" cstate="print"/>
                    <a:srcRect/>
                    <a:stretch>
                      <a:fillRect/>
                    </a:stretch>
                  </pic:blipFill>
                  <pic:spPr bwMode="auto">
                    <a:xfrm>
                      <a:off x="0" y="0"/>
                      <a:ext cx="4532159" cy="3304551"/>
                    </a:xfrm>
                    <a:prstGeom prst="rect">
                      <a:avLst/>
                    </a:prstGeom>
                    <a:noFill/>
                    <a:ln w="9525">
                      <a:noFill/>
                      <a:miter lim="800000"/>
                      <a:headEnd/>
                      <a:tailEnd/>
                    </a:ln>
                  </pic:spPr>
                </pic:pic>
              </a:graphicData>
            </a:graphic>
          </wp:inline>
        </w:drawing>
      </w:r>
    </w:p>
    <w:p w:rsidR="00BE13CE" w:rsidRPr="003B67FC" w:rsidRDefault="00BE13CE" w:rsidP="00BE13CE">
      <w:pPr>
        <w:widowControl w:val="0"/>
        <w:rPr>
          <w:rFonts w:ascii="Arial" w:hAnsi="Arial" w:cs="Arial"/>
          <w:sz w:val="24"/>
          <w:szCs w:val="24"/>
        </w:rPr>
      </w:pPr>
      <w:r w:rsidRPr="003B67FC">
        <w:rPr>
          <w:rFonts w:ascii="Arial" w:hAnsi="Arial" w:cs="Arial"/>
          <w:sz w:val="24"/>
          <w:szCs w:val="24"/>
        </w:rPr>
        <w:t> </w:t>
      </w:r>
    </w:p>
    <w:p w:rsidR="00BE13CE" w:rsidRPr="003B67FC" w:rsidRDefault="00BE13CE" w:rsidP="00BE13CE">
      <w:pPr>
        <w:widowControl w:val="0"/>
        <w:rPr>
          <w:rFonts w:ascii="Arial" w:hAnsi="Arial" w:cs="Arial"/>
          <w:color w:val="141760"/>
          <w:sz w:val="24"/>
          <w:szCs w:val="24"/>
        </w:rPr>
      </w:pPr>
      <w:r w:rsidRPr="003B67FC">
        <w:rPr>
          <w:rFonts w:ascii="Arial" w:hAnsi="Arial" w:cs="Arial"/>
          <w:color w:val="141760"/>
          <w:sz w:val="24"/>
          <w:szCs w:val="24"/>
        </w:rPr>
        <w:t xml:space="preserve">This decision making process should be followed throughout the assessment, care and support planning, safeguarding and review processes. </w:t>
      </w:r>
    </w:p>
    <w:p w:rsidR="00BE13CE" w:rsidRPr="003B67FC" w:rsidRDefault="00BE13CE" w:rsidP="00BE13CE">
      <w:pPr>
        <w:widowControl w:val="0"/>
        <w:rPr>
          <w:rFonts w:ascii="Arial" w:hAnsi="Arial" w:cs="Arial"/>
          <w:color w:val="141760"/>
          <w:sz w:val="24"/>
          <w:szCs w:val="24"/>
        </w:rPr>
      </w:pPr>
      <w:r w:rsidRPr="003B67FC">
        <w:rPr>
          <w:rFonts w:ascii="Arial" w:hAnsi="Arial" w:cs="Arial"/>
          <w:color w:val="141760"/>
          <w:sz w:val="24"/>
          <w:szCs w:val="24"/>
        </w:rPr>
        <w:t> </w:t>
      </w:r>
    </w:p>
    <w:p w:rsidR="00BE13CE" w:rsidRPr="003B67FC" w:rsidRDefault="00BE13CE" w:rsidP="00BE13CE">
      <w:pPr>
        <w:widowControl w:val="0"/>
        <w:rPr>
          <w:rFonts w:ascii="Arial" w:hAnsi="Arial" w:cs="Arial"/>
          <w:color w:val="141760"/>
          <w:sz w:val="24"/>
          <w:szCs w:val="24"/>
        </w:rPr>
      </w:pPr>
      <w:r w:rsidRPr="003B67FC">
        <w:rPr>
          <w:rFonts w:ascii="Arial" w:hAnsi="Arial" w:cs="Arial"/>
          <w:color w:val="141760"/>
          <w:sz w:val="24"/>
          <w:szCs w:val="24"/>
        </w:rPr>
        <w:t>The Care Council's Level B Introduction and General Functions Training Module includes an in depth case study</w:t>
      </w:r>
      <w:r w:rsidRPr="003B67FC">
        <w:rPr>
          <w:rFonts w:ascii="Arial" w:hAnsi="Arial" w:cs="Arial"/>
          <w:color w:val="141760"/>
          <w:sz w:val="16"/>
          <w:szCs w:val="16"/>
          <w:vertAlign w:val="superscript"/>
        </w:rPr>
        <w:t>9</w:t>
      </w:r>
      <w:r w:rsidRPr="003B67FC">
        <w:rPr>
          <w:rFonts w:ascii="Arial" w:hAnsi="Arial" w:cs="Arial"/>
          <w:color w:val="141760"/>
          <w:sz w:val="24"/>
          <w:szCs w:val="24"/>
        </w:rPr>
        <w:t xml:space="preserve"> and a set of questions</w:t>
      </w:r>
      <w:r w:rsidRPr="003B67FC">
        <w:rPr>
          <w:rFonts w:ascii="Arial" w:hAnsi="Arial" w:cs="Arial"/>
          <w:color w:val="141760"/>
          <w:sz w:val="16"/>
          <w:szCs w:val="16"/>
          <w:vertAlign w:val="superscript"/>
        </w:rPr>
        <w:t>10</w:t>
      </w:r>
      <w:r w:rsidRPr="003B67FC">
        <w:rPr>
          <w:rFonts w:ascii="Arial" w:hAnsi="Arial" w:cs="Arial"/>
          <w:color w:val="141760"/>
          <w:sz w:val="24"/>
          <w:szCs w:val="24"/>
        </w:rPr>
        <w:t xml:space="preserve"> to assist practitioners in judging whether someone might be experiencing barriers and whether advocacy might be needed. </w:t>
      </w:r>
    </w:p>
    <w:p w:rsidR="00E44623" w:rsidRPr="003B67FC" w:rsidRDefault="00E44623" w:rsidP="00BE13CE">
      <w:pPr>
        <w:widowControl w:val="0"/>
        <w:rPr>
          <w:rFonts w:ascii="Arial" w:hAnsi="Arial" w:cs="Arial"/>
          <w:color w:val="141760"/>
          <w:sz w:val="24"/>
          <w:szCs w:val="24"/>
        </w:rPr>
      </w:pPr>
    </w:p>
    <w:p w:rsidR="00BE13CE" w:rsidRPr="003B67FC" w:rsidRDefault="00BE13CE" w:rsidP="00BE13CE">
      <w:pPr>
        <w:widowControl w:val="0"/>
        <w:rPr>
          <w:rFonts w:ascii="Arial" w:hAnsi="Arial" w:cs="Arial"/>
          <w:color w:val="00B0F0"/>
          <w:sz w:val="24"/>
          <w:szCs w:val="24"/>
        </w:rPr>
      </w:pPr>
      <w:r w:rsidRPr="003B67FC">
        <w:rPr>
          <w:rFonts w:ascii="Arial" w:hAnsi="Arial" w:cs="Arial"/>
          <w:color w:val="141760"/>
          <w:sz w:val="24"/>
          <w:szCs w:val="24"/>
        </w:rPr>
        <w:t xml:space="preserve"> </w:t>
      </w:r>
      <w:r w:rsidRPr="003B67FC">
        <w:rPr>
          <w:rFonts w:ascii="Arial" w:hAnsi="Arial" w:cs="Arial"/>
          <w:b/>
          <w:bCs/>
          <w:color w:val="00B0F0"/>
          <w:sz w:val="24"/>
          <w:szCs w:val="24"/>
        </w:rPr>
        <w:t>References</w:t>
      </w:r>
    </w:p>
    <w:p w:rsidR="00BE13CE" w:rsidRPr="003B67FC" w:rsidRDefault="00BE13CE" w:rsidP="00BE13CE">
      <w:pPr>
        <w:widowControl w:val="0"/>
        <w:rPr>
          <w:rFonts w:ascii="Arial" w:hAnsi="Arial" w:cs="Arial"/>
          <w:color w:val="141760"/>
          <w:sz w:val="24"/>
          <w:szCs w:val="24"/>
        </w:rPr>
      </w:pPr>
      <w:r w:rsidRPr="003B67FC">
        <w:rPr>
          <w:rFonts w:ascii="Arial" w:hAnsi="Arial" w:cs="Arial"/>
          <w:color w:val="141760"/>
          <w:sz w:val="24"/>
          <w:szCs w:val="24"/>
        </w:rPr>
        <w:t> </w:t>
      </w:r>
    </w:p>
    <w:p w:rsidR="00BE13CE" w:rsidRPr="003B67FC" w:rsidRDefault="00BE13CE" w:rsidP="00BE13CE">
      <w:pPr>
        <w:widowControl w:val="0"/>
        <w:rPr>
          <w:rFonts w:ascii="Arial" w:hAnsi="Arial" w:cs="Arial"/>
          <w:color w:val="141760"/>
          <w:sz w:val="24"/>
          <w:szCs w:val="24"/>
        </w:rPr>
      </w:pPr>
      <w:r w:rsidRPr="003B67FC">
        <w:rPr>
          <w:rFonts w:ascii="Arial" w:hAnsi="Arial" w:cs="Arial"/>
          <w:color w:val="141760"/>
          <w:sz w:val="24"/>
          <w:szCs w:val="24"/>
        </w:rPr>
        <w:t>1. Part 10 Code of Practice (Advocacy), para 47:</w:t>
      </w:r>
    </w:p>
    <w:p w:rsidR="00BE13CE" w:rsidRPr="003B67FC" w:rsidRDefault="00C52F2E" w:rsidP="00BE13CE">
      <w:pPr>
        <w:widowControl w:val="0"/>
        <w:rPr>
          <w:rFonts w:ascii="Arial" w:hAnsi="Arial" w:cs="Arial"/>
          <w:color w:val="141760"/>
          <w:sz w:val="24"/>
          <w:szCs w:val="24"/>
        </w:rPr>
      </w:pPr>
      <w:hyperlink r:id="rId13" w:history="1">
        <w:r w:rsidR="00BE13CE" w:rsidRPr="003B67FC">
          <w:rPr>
            <w:rStyle w:val="Hyperlink"/>
            <w:rFonts w:ascii="Arial" w:hAnsi="Arial" w:cs="Arial"/>
            <w:sz w:val="24"/>
            <w:szCs w:val="24"/>
          </w:rPr>
          <w:t>http://gov.wales/docs/dhss/publications/151218part10en.pdf</w:t>
        </w:r>
      </w:hyperlink>
      <w:r w:rsidR="00BE13CE" w:rsidRPr="003B67FC">
        <w:rPr>
          <w:rFonts w:ascii="Arial" w:hAnsi="Arial" w:cs="Arial"/>
          <w:color w:val="141760"/>
          <w:sz w:val="24"/>
          <w:szCs w:val="24"/>
        </w:rPr>
        <w:t xml:space="preserve">    </w:t>
      </w:r>
    </w:p>
    <w:p w:rsidR="00BE13CE" w:rsidRPr="003B67FC" w:rsidRDefault="00BE13CE" w:rsidP="00BE13CE">
      <w:pPr>
        <w:widowControl w:val="0"/>
        <w:rPr>
          <w:rFonts w:ascii="Arial" w:hAnsi="Arial" w:cs="Arial"/>
          <w:color w:val="141760"/>
          <w:sz w:val="24"/>
          <w:szCs w:val="24"/>
        </w:rPr>
      </w:pPr>
      <w:r w:rsidRPr="003B67FC">
        <w:rPr>
          <w:rFonts w:ascii="Arial" w:hAnsi="Arial" w:cs="Arial"/>
          <w:color w:val="141760"/>
          <w:sz w:val="24"/>
          <w:szCs w:val="24"/>
        </w:rPr>
        <w:t xml:space="preserve">2. Part 10 Code of Practice, para 48. </w:t>
      </w:r>
    </w:p>
    <w:p w:rsidR="00BE13CE" w:rsidRPr="003B67FC" w:rsidRDefault="00BE13CE" w:rsidP="00BE13CE">
      <w:pPr>
        <w:widowControl w:val="0"/>
        <w:rPr>
          <w:rFonts w:ascii="Arial" w:hAnsi="Arial" w:cs="Arial"/>
          <w:color w:val="141760"/>
          <w:sz w:val="24"/>
          <w:szCs w:val="24"/>
        </w:rPr>
      </w:pPr>
      <w:r w:rsidRPr="003B67FC">
        <w:rPr>
          <w:rFonts w:ascii="Arial" w:hAnsi="Arial" w:cs="Arial"/>
          <w:color w:val="141760"/>
          <w:sz w:val="24"/>
          <w:szCs w:val="24"/>
        </w:rPr>
        <w:t xml:space="preserve">3. Part 10 Code of Practice, para 55. </w:t>
      </w:r>
    </w:p>
    <w:p w:rsidR="00BE13CE" w:rsidRPr="003B67FC" w:rsidRDefault="00BE13CE" w:rsidP="00BE13CE">
      <w:pPr>
        <w:widowControl w:val="0"/>
        <w:rPr>
          <w:rFonts w:ascii="Arial" w:hAnsi="Arial" w:cs="Arial"/>
          <w:color w:val="141760"/>
          <w:sz w:val="24"/>
          <w:szCs w:val="24"/>
        </w:rPr>
      </w:pPr>
      <w:r w:rsidRPr="003B67FC">
        <w:rPr>
          <w:rFonts w:ascii="Arial" w:hAnsi="Arial" w:cs="Arial"/>
          <w:color w:val="141760"/>
          <w:sz w:val="24"/>
          <w:szCs w:val="24"/>
        </w:rPr>
        <w:t xml:space="preserve">4. Part 10 Code of Practice, para 61 and section 13. </w:t>
      </w:r>
    </w:p>
    <w:p w:rsidR="00BE13CE" w:rsidRPr="003B67FC" w:rsidRDefault="00BE13CE" w:rsidP="00BE13CE">
      <w:pPr>
        <w:widowControl w:val="0"/>
        <w:rPr>
          <w:rFonts w:ascii="Arial" w:hAnsi="Arial" w:cs="Arial"/>
          <w:color w:val="141760"/>
          <w:sz w:val="24"/>
          <w:szCs w:val="24"/>
        </w:rPr>
      </w:pPr>
      <w:r w:rsidRPr="003B67FC">
        <w:rPr>
          <w:rFonts w:ascii="Arial" w:hAnsi="Arial" w:cs="Arial"/>
          <w:color w:val="141760"/>
          <w:sz w:val="24"/>
          <w:szCs w:val="24"/>
        </w:rPr>
        <w:t xml:space="preserve">5. How to access care and support: </w:t>
      </w:r>
    </w:p>
    <w:p w:rsidR="00BE13CE" w:rsidRPr="003B67FC" w:rsidRDefault="00C52F2E" w:rsidP="00BE13CE">
      <w:pPr>
        <w:widowControl w:val="0"/>
        <w:rPr>
          <w:rFonts w:ascii="Arial" w:hAnsi="Arial" w:cs="Arial"/>
          <w:color w:val="141760"/>
          <w:sz w:val="24"/>
          <w:szCs w:val="24"/>
        </w:rPr>
      </w:pPr>
      <w:hyperlink r:id="rId14" w:history="1">
        <w:r w:rsidR="00BE13CE" w:rsidRPr="003B67FC">
          <w:rPr>
            <w:rStyle w:val="Hyperlink"/>
            <w:rFonts w:ascii="Arial" w:hAnsi="Arial" w:cs="Arial"/>
            <w:sz w:val="24"/>
            <w:szCs w:val="24"/>
          </w:rPr>
          <w:t>http://www.ccwales.org.uk/edrms/157190/</w:t>
        </w:r>
      </w:hyperlink>
      <w:r w:rsidR="00BE13CE" w:rsidRPr="003B67FC">
        <w:rPr>
          <w:rFonts w:ascii="Arial" w:hAnsi="Arial" w:cs="Arial"/>
          <w:color w:val="141760"/>
          <w:sz w:val="24"/>
          <w:szCs w:val="24"/>
        </w:rPr>
        <w:t xml:space="preserve">   </w:t>
      </w:r>
    </w:p>
    <w:p w:rsidR="00BE13CE" w:rsidRPr="003B67FC" w:rsidRDefault="00BE13CE" w:rsidP="00BE13CE">
      <w:pPr>
        <w:widowControl w:val="0"/>
        <w:rPr>
          <w:rFonts w:ascii="Arial" w:hAnsi="Arial" w:cs="Arial"/>
          <w:color w:val="141760"/>
          <w:sz w:val="24"/>
          <w:szCs w:val="24"/>
        </w:rPr>
      </w:pPr>
      <w:r w:rsidRPr="003B67FC">
        <w:rPr>
          <w:rFonts w:ascii="Arial" w:hAnsi="Arial" w:cs="Arial"/>
          <w:color w:val="141760"/>
          <w:sz w:val="24"/>
          <w:szCs w:val="24"/>
        </w:rPr>
        <w:t>6. Part 2 Code of Practice (General Functions), para 327:</w:t>
      </w:r>
    </w:p>
    <w:p w:rsidR="00BE13CE" w:rsidRPr="003B67FC" w:rsidRDefault="00C52F2E" w:rsidP="00BE13CE">
      <w:pPr>
        <w:widowControl w:val="0"/>
        <w:rPr>
          <w:rFonts w:ascii="Arial" w:hAnsi="Arial" w:cs="Arial"/>
          <w:color w:val="141760"/>
          <w:sz w:val="24"/>
          <w:szCs w:val="24"/>
        </w:rPr>
      </w:pPr>
      <w:hyperlink r:id="rId15" w:history="1">
        <w:r w:rsidR="00BE13CE" w:rsidRPr="003B67FC">
          <w:rPr>
            <w:rStyle w:val="Hyperlink"/>
            <w:rFonts w:ascii="Arial" w:hAnsi="Arial" w:cs="Arial"/>
            <w:sz w:val="24"/>
            <w:szCs w:val="24"/>
          </w:rPr>
          <w:t>http://gov.wales/docs/dhss/publications/151218part2en.pdf</w:t>
        </w:r>
      </w:hyperlink>
      <w:r w:rsidR="00BE13CE" w:rsidRPr="003B67FC">
        <w:rPr>
          <w:rFonts w:ascii="Arial" w:hAnsi="Arial" w:cs="Arial"/>
          <w:color w:val="141760"/>
          <w:sz w:val="24"/>
          <w:szCs w:val="24"/>
        </w:rPr>
        <w:t xml:space="preserve">                                                            </w:t>
      </w:r>
    </w:p>
    <w:p w:rsidR="00BE13CE" w:rsidRPr="003B67FC" w:rsidRDefault="00BE13CE" w:rsidP="00BE13CE">
      <w:pPr>
        <w:widowControl w:val="0"/>
        <w:rPr>
          <w:rFonts w:ascii="Arial" w:hAnsi="Arial" w:cs="Arial"/>
          <w:color w:val="141760"/>
          <w:sz w:val="24"/>
          <w:szCs w:val="24"/>
        </w:rPr>
      </w:pPr>
      <w:r w:rsidRPr="003B67FC">
        <w:rPr>
          <w:rFonts w:ascii="Arial" w:hAnsi="Arial" w:cs="Arial"/>
          <w:color w:val="141760"/>
          <w:sz w:val="24"/>
          <w:szCs w:val="24"/>
        </w:rPr>
        <w:t>7. Part 2 Code of Practice, para 329.</w:t>
      </w:r>
    </w:p>
    <w:p w:rsidR="00BE13CE" w:rsidRPr="003B67FC" w:rsidRDefault="00BE13CE" w:rsidP="00BE13CE">
      <w:pPr>
        <w:widowControl w:val="0"/>
        <w:rPr>
          <w:rFonts w:ascii="Arial" w:hAnsi="Arial" w:cs="Arial"/>
          <w:color w:val="141760"/>
          <w:sz w:val="24"/>
          <w:szCs w:val="24"/>
        </w:rPr>
      </w:pPr>
      <w:r w:rsidRPr="003B67FC">
        <w:rPr>
          <w:rFonts w:ascii="Arial" w:hAnsi="Arial" w:cs="Arial"/>
          <w:color w:val="141760"/>
          <w:sz w:val="24"/>
          <w:szCs w:val="24"/>
        </w:rPr>
        <w:t xml:space="preserve">8. Introduction and General Functions Level B Training Module </w:t>
      </w:r>
      <w:proofErr w:type="spellStart"/>
      <w:r w:rsidRPr="003B67FC">
        <w:rPr>
          <w:rFonts w:ascii="Arial" w:hAnsi="Arial" w:cs="Arial"/>
          <w:color w:val="141760"/>
          <w:sz w:val="24"/>
          <w:szCs w:val="24"/>
        </w:rPr>
        <w:t>Powerpoint</w:t>
      </w:r>
      <w:proofErr w:type="spellEnd"/>
      <w:r w:rsidRPr="003B67FC">
        <w:rPr>
          <w:rFonts w:ascii="Arial" w:hAnsi="Arial" w:cs="Arial"/>
          <w:color w:val="141760"/>
          <w:sz w:val="24"/>
          <w:szCs w:val="24"/>
        </w:rPr>
        <w:t xml:space="preserve"> Slide 42,</w:t>
      </w:r>
    </w:p>
    <w:p w:rsidR="00BE13CE" w:rsidRPr="003B67FC" w:rsidRDefault="00C52F2E" w:rsidP="00BE13CE">
      <w:pPr>
        <w:widowControl w:val="0"/>
        <w:rPr>
          <w:rFonts w:ascii="Arial" w:hAnsi="Arial" w:cs="Arial"/>
          <w:color w:val="141760"/>
          <w:sz w:val="24"/>
          <w:szCs w:val="24"/>
        </w:rPr>
      </w:pPr>
      <w:hyperlink r:id="rId16" w:history="1">
        <w:r w:rsidR="00BE13CE" w:rsidRPr="003B67FC">
          <w:rPr>
            <w:rStyle w:val="Hyperlink"/>
            <w:rFonts w:ascii="Arial" w:hAnsi="Arial" w:cs="Arial"/>
            <w:sz w:val="24"/>
            <w:szCs w:val="24"/>
          </w:rPr>
          <w:t>http://www.ccwales.org.uk/edrms/157075/</w:t>
        </w:r>
      </w:hyperlink>
      <w:r w:rsidR="00BE13CE" w:rsidRPr="003B67FC">
        <w:rPr>
          <w:rFonts w:ascii="Arial" w:hAnsi="Arial" w:cs="Arial"/>
          <w:color w:val="141760"/>
          <w:sz w:val="24"/>
          <w:szCs w:val="24"/>
        </w:rPr>
        <w:t xml:space="preserve"> </w:t>
      </w:r>
    </w:p>
    <w:p w:rsidR="00BE13CE" w:rsidRPr="003B67FC" w:rsidRDefault="00BE13CE" w:rsidP="00BE13CE">
      <w:pPr>
        <w:widowControl w:val="0"/>
        <w:rPr>
          <w:rFonts w:ascii="Arial" w:hAnsi="Arial" w:cs="Arial"/>
          <w:color w:val="141760"/>
          <w:sz w:val="24"/>
          <w:szCs w:val="24"/>
        </w:rPr>
      </w:pPr>
      <w:r w:rsidRPr="003B67FC">
        <w:rPr>
          <w:rFonts w:ascii="Arial" w:hAnsi="Arial" w:cs="Arial"/>
          <w:color w:val="141760"/>
          <w:sz w:val="24"/>
          <w:szCs w:val="24"/>
        </w:rPr>
        <w:t>9. Introduction and General Functions Level B Training Module Case study pp79-80:</w:t>
      </w:r>
    </w:p>
    <w:p w:rsidR="00BE13CE" w:rsidRPr="003B67FC" w:rsidRDefault="00C52F2E" w:rsidP="00BE13CE">
      <w:pPr>
        <w:widowControl w:val="0"/>
        <w:rPr>
          <w:rFonts w:ascii="Arial" w:hAnsi="Arial" w:cs="Arial"/>
          <w:color w:val="141760"/>
          <w:sz w:val="24"/>
          <w:szCs w:val="24"/>
        </w:rPr>
      </w:pPr>
      <w:hyperlink r:id="rId17" w:history="1">
        <w:r w:rsidR="00BE13CE" w:rsidRPr="003B67FC">
          <w:rPr>
            <w:rStyle w:val="Hyperlink"/>
            <w:rFonts w:ascii="Arial" w:hAnsi="Arial" w:cs="Arial"/>
            <w:sz w:val="24"/>
            <w:szCs w:val="24"/>
          </w:rPr>
          <w:t>http://www.ccwales.org.uk/edrms/157294/</w:t>
        </w:r>
      </w:hyperlink>
    </w:p>
    <w:p w:rsidR="00BE13CE" w:rsidRDefault="00BE13CE" w:rsidP="00BE13CE">
      <w:pPr>
        <w:widowControl w:val="0"/>
        <w:rPr>
          <w:rFonts w:ascii="Arial" w:hAnsi="Arial" w:cs="Arial"/>
          <w:color w:val="141760"/>
          <w:sz w:val="24"/>
          <w:szCs w:val="24"/>
        </w:rPr>
      </w:pPr>
      <w:r w:rsidRPr="003B67FC">
        <w:rPr>
          <w:rFonts w:ascii="Arial" w:hAnsi="Arial" w:cs="Arial"/>
          <w:color w:val="141760"/>
          <w:sz w:val="24"/>
          <w:szCs w:val="24"/>
        </w:rPr>
        <w:t>10. Introduction and General Functions Level B Training Module Exercise 3.43.2 p78-79.</w:t>
      </w:r>
    </w:p>
    <w:p w:rsidR="001F114B" w:rsidRDefault="001F114B" w:rsidP="00BE13CE">
      <w:pPr>
        <w:widowControl w:val="0"/>
        <w:rPr>
          <w:rFonts w:ascii="Arial" w:hAnsi="Arial" w:cs="Arial"/>
          <w:color w:val="141760"/>
          <w:sz w:val="24"/>
          <w:szCs w:val="24"/>
        </w:rPr>
      </w:pPr>
    </w:p>
    <w:p w:rsidR="001F114B" w:rsidRDefault="001F114B" w:rsidP="00BE13CE">
      <w:pPr>
        <w:widowControl w:val="0"/>
        <w:rPr>
          <w:rFonts w:ascii="Arial" w:hAnsi="Arial" w:cs="Arial"/>
          <w:color w:val="141760"/>
          <w:sz w:val="24"/>
          <w:szCs w:val="24"/>
        </w:rPr>
      </w:pPr>
    </w:p>
    <w:p w:rsidR="001F114B" w:rsidRPr="001F114B" w:rsidRDefault="001F114B" w:rsidP="00BE13CE">
      <w:pPr>
        <w:widowControl w:val="0"/>
        <w:rPr>
          <w:rFonts w:ascii="Arial" w:hAnsi="Arial" w:cs="Arial"/>
          <w:color w:val="141760"/>
        </w:rPr>
      </w:pPr>
      <w:r w:rsidRPr="001F114B">
        <w:rPr>
          <w:rFonts w:ascii="FS Me" w:hAnsi="FS Me" w:cs="Arial"/>
          <w:color w:val="141760"/>
        </w:rPr>
        <w:t>©</w:t>
      </w:r>
      <w:r w:rsidRPr="001F114B">
        <w:rPr>
          <w:rFonts w:ascii="Arial" w:hAnsi="Arial" w:cs="Arial"/>
          <w:color w:val="141760"/>
        </w:rPr>
        <w:t xml:space="preserve"> Age Cymru 2016</w:t>
      </w:r>
    </w:p>
    <w:p w:rsidR="00BE13CE" w:rsidRPr="003B67FC" w:rsidRDefault="00BE13CE" w:rsidP="00BE13CE">
      <w:pPr>
        <w:widowControl w:val="0"/>
        <w:rPr>
          <w:rFonts w:ascii="Arial" w:hAnsi="Arial" w:cs="Arial"/>
          <w:color w:val="141760"/>
          <w:sz w:val="24"/>
          <w:szCs w:val="24"/>
        </w:rPr>
      </w:pPr>
      <w:r w:rsidRPr="003B67FC">
        <w:rPr>
          <w:rFonts w:ascii="Arial" w:hAnsi="Arial" w:cs="Arial"/>
          <w:color w:val="141760"/>
          <w:sz w:val="24"/>
          <w:szCs w:val="24"/>
        </w:rPr>
        <w:t> </w:t>
      </w:r>
    </w:p>
    <w:p w:rsidR="00BE13CE" w:rsidRPr="003B67FC" w:rsidRDefault="00BE13CE" w:rsidP="00BE13CE">
      <w:pPr>
        <w:widowControl w:val="0"/>
        <w:rPr>
          <w:rFonts w:ascii="Arial" w:hAnsi="Arial" w:cs="Arial"/>
          <w:sz w:val="24"/>
          <w:szCs w:val="24"/>
        </w:rPr>
      </w:pPr>
      <w:r w:rsidRPr="003B67FC">
        <w:rPr>
          <w:rFonts w:ascii="Arial" w:hAnsi="Arial" w:cs="Arial"/>
          <w:sz w:val="24"/>
          <w:szCs w:val="24"/>
        </w:rPr>
        <w:t> </w:t>
      </w:r>
    </w:p>
    <w:p w:rsidR="00BE13CE" w:rsidRPr="003B67FC" w:rsidRDefault="00BE13CE" w:rsidP="00BE13CE">
      <w:pPr>
        <w:widowControl w:val="0"/>
        <w:rPr>
          <w:rFonts w:ascii="Arial" w:hAnsi="Arial" w:cs="Arial"/>
        </w:rPr>
      </w:pPr>
      <w:r w:rsidRPr="003B67FC">
        <w:rPr>
          <w:rFonts w:ascii="Arial" w:hAnsi="Arial" w:cs="Arial"/>
        </w:rPr>
        <w:t> </w:t>
      </w:r>
    </w:p>
    <w:p w:rsidR="00BE13CE" w:rsidRPr="003B67FC" w:rsidRDefault="00BE13CE" w:rsidP="00BE13CE">
      <w:pPr>
        <w:widowControl w:val="0"/>
        <w:rPr>
          <w:rFonts w:ascii="Arial" w:hAnsi="Arial" w:cs="Arial"/>
        </w:rPr>
      </w:pPr>
      <w:r w:rsidRPr="003B67FC">
        <w:rPr>
          <w:rFonts w:ascii="Arial" w:hAnsi="Arial" w:cs="Arial"/>
        </w:rPr>
        <w:t> </w:t>
      </w:r>
    </w:p>
    <w:p w:rsidR="00BE13CE" w:rsidRPr="003B67FC" w:rsidRDefault="00BE13CE" w:rsidP="00BE13CE">
      <w:pPr>
        <w:widowControl w:val="0"/>
        <w:rPr>
          <w:rFonts w:ascii="Arial" w:hAnsi="Arial" w:cs="Arial"/>
        </w:rPr>
      </w:pPr>
      <w:r w:rsidRPr="003B67FC">
        <w:rPr>
          <w:rFonts w:ascii="Arial" w:hAnsi="Arial" w:cs="Arial"/>
        </w:rPr>
        <w:lastRenderedPageBreak/>
        <w:t> </w:t>
      </w:r>
    </w:p>
    <w:p w:rsidR="00BE13CE" w:rsidRPr="003B67FC" w:rsidRDefault="00BE13CE" w:rsidP="00BE13CE">
      <w:pPr>
        <w:widowControl w:val="0"/>
        <w:rPr>
          <w:rFonts w:ascii="Arial" w:hAnsi="Arial" w:cs="Arial"/>
        </w:rPr>
      </w:pPr>
      <w:r w:rsidRPr="003B67FC">
        <w:rPr>
          <w:rFonts w:ascii="Arial" w:hAnsi="Arial" w:cs="Arial"/>
        </w:rPr>
        <w:t> </w:t>
      </w:r>
    </w:p>
    <w:p w:rsidR="00C43773" w:rsidRPr="003B67FC" w:rsidRDefault="00C43773" w:rsidP="00054B79">
      <w:pPr>
        <w:widowControl w:val="0"/>
        <w:rPr>
          <w:rFonts w:ascii="Arial" w:hAnsi="Arial" w:cs="Arial"/>
        </w:rPr>
      </w:pPr>
      <w:bookmarkStart w:id="0" w:name="_GoBack"/>
      <w:bookmarkEnd w:id="0"/>
    </w:p>
    <w:sectPr w:rsidR="00C43773" w:rsidRPr="003B67FC" w:rsidSect="00E44623">
      <w:footerReference w:type="default" r:id="rId18"/>
      <w:pgSz w:w="11906" w:h="16838"/>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E13CE" w:rsidRDefault="00BE13CE" w:rsidP="00BE13CE">
      <w:r>
        <w:separator/>
      </w:r>
    </w:p>
  </w:endnote>
  <w:endnote w:type="continuationSeparator" w:id="0">
    <w:p w:rsidR="00BE13CE" w:rsidRDefault="00BE13CE" w:rsidP="00BE13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FS Me">
    <w:panose1 w:val="02000506040000020004"/>
    <w:charset w:val="00"/>
    <w:family w:val="modern"/>
    <w:notTrueType/>
    <w:pitch w:val="variable"/>
    <w:sig w:usb0="800000AF" w:usb1="4000204A" w:usb2="00000000" w:usb3="00000000" w:csb0="0000009B"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88557511"/>
      <w:docPartObj>
        <w:docPartGallery w:val="Page Numbers (Bottom of Page)"/>
        <w:docPartUnique/>
      </w:docPartObj>
    </w:sdtPr>
    <w:sdtEndPr/>
    <w:sdtContent>
      <w:p w:rsidR="00BE13CE" w:rsidRDefault="008343F7">
        <w:pPr>
          <w:pStyle w:val="Footer"/>
          <w:jc w:val="right"/>
        </w:pPr>
        <w:r>
          <w:fldChar w:fldCharType="begin"/>
        </w:r>
        <w:r>
          <w:instrText xml:space="preserve"> PAGE   \* MERGEFORMAT </w:instrText>
        </w:r>
        <w:r>
          <w:fldChar w:fldCharType="separate"/>
        </w:r>
        <w:r w:rsidR="00C52F2E">
          <w:rPr>
            <w:noProof/>
          </w:rPr>
          <w:t>3</w:t>
        </w:r>
        <w:r>
          <w:rPr>
            <w:noProof/>
          </w:rPr>
          <w:fldChar w:fldCharType="end"/>
        </w:r>
      </w:p>
    </w:sdtContent>
  </w:sdt>
  <w:p w:rsidR="00BE13CE" w:rsidRDefault="00BE13C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E13CE" w:rsidRDefault="00BE13CE" w:rsidP="00BE13CE">
      <w:r>
        <w:separator/>
      </w:r>
    </w:p>
  </w:footnote>
  <w:footnote w:type="continuationSeparator" w:id="0">
    <w:p w:rsidR="00BE13CE" w:rsidRDefault="00BE13CE" w:rsidP="00BE13C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9DC53F5"/>
    <w:multiLevelType w:val="hybridMultilevel"/>
    <w:tmpl w:val="6C3236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1EA27738"/>
    <w:multiLevelType w:val="hybridMultilevel"/>
    <w:tmpl w:val="E1DE9B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2F494146"/>
    <w:multiLevelType w:val="hybridMultilevel"/>
    <w:tmpl w:val="C1AA13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570E75EE"/>
    <w:multiLevelType w:val="hybridMultilevel"/>
    <w:tmpl w:val="031207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ocumentProtection w:edit="readOnly" w:formatting="1" w:enforcement="1" w:cryptProviderType="rsaFull" w:cryptAlgorithmClass="hash" w:cryptAlgorithmType="typeAny" w:cryptAlgorithmSid="4" w:cryptSpinCount="100000" w:hash="OksGVE38zi4+VvCamhA5wHPdgWE=" w:salt="p/QRj7Q2Zaoj6JFCBiqs3Q=="/>
  <w:defaultTabStop w:val="720"/>
  <w:drawingGridHorizontalSpacing w:val="10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E13CE"/>
    <w:rsid w:val="00036F18"/>
    <w:rsid w:val="00054B79"/>
    <w:rsid w:val="001F114B"/>
    <w:rsid w:val="0032079B"/>
    <w:rsid w:val="00332CF9"/>
    <w:rsid w:val="003B67FC"/>
    <w:rsid w:val="00410359"/>
    <w:rsid w:val="006337B2"/>
    <w:rsid w:val="007C61F7"/>
    <w:rsid w:val="008343F7"/>
    <w:rsid w:val="00A35DA9"/>
    <w:rsid w:val="00AE1FEE"/>
    <w:rsid w:val="00BE13CE"/>
    <w:rsid w:val="00BF15D4"/>
    <w:rsid w:val="00C15C1B"/>
    <w:rsid w:val="00C36FD9"/>
    <w:rsid w:val="00C43773"/>
    <w:rsid w:val="00C52F2E"/>
    <w:rsid w:val="00E4462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E13CE"/>
    <w:pPr>
      <w:spacing w:after="0" w:line="240" w:lineRule="auto"/>
    </w:pPr>
    <w:rPr>
      <w:rFonts w:ascii="Times New Roman" w:eastAsia="Times New Roman" w:hAnsi="Times New Roman" w:cs="Times New Roman"/>
      <w:color w:val="000000"/>
      <w:kern w:val="28"/>
      <w:sz w:val="20"/>
      <w:szCs w:val="2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BE13CE"/>
    <w:rPr>
      <w:color w:val="0066FF"/>
      <w:u w:val="single"/>
    </w:rPr>
  </w:style>
  <w:style w:type="paragraph" w:styleId="BalloonText">
    <w:name w:val="Balloon Text"/>
    <w:basedOn w:val="Normal"/>
    <w:link w:val="BalloonTextChar"/>
    <w:uiPriority w:val="99"/>
    <w:semiHidden/>
    <w:unhideWhenUsed/>
    <w:rsid w:val="00BE13CE"/>
    <w:rPr>
      <w:rFonts w:ascii="Tahoma" w:hAnsi="Tahoma" w:cs="Tahoma"/>
      <w:sz w:val="16"/>
      <w:szCs w:val="16"/>
    </w:rPr>
  </w:style>
  <w:style w:type="character" w:customStyle="1" w:styleId="BalloonTextChar">
    <w:name w:val="Balloon Text Char"/>
    <w:basedOn w:val="DefaultParagraphFont"/>
    <w:link w:val="BalloonText"/>
    <w:uiPriority w:val="99"/>
    <w:semiHidden/>
    <w:rsid w:val="00BE13CE"/>
    <w:rPr>
      <w:rFonts w:ascii="Tahoma" w:eastAsia="Times New Roman" w:hAnsi="Tahoma" w:cs="Tahoma"/>
      <w:color w:val="000000"/>
      <w:kern w:val="28"/>
      <w:sz w:val="16"/>
      <w:szCs w:val="16"/>
      <w:lang w:eastAsia="en-GB"/>
    </w:rPr>
  </w:style>
  <w:style w:type="paragraph" w:styleId="Header">
    <w:name w:val="header"/>
    <w:basedOn w:val="Normal"/>
    <w:link w:val="HeaderChar"/>
    <w:uiPriority w:val="99"/>
    <w:semiHidden/>
    <w:unhideWhenUsed/>
    <w:rsid w:val="00BE13CE"/>
    <w:pPr>
      <w:tabs>
        <w:tab w:val="center" w:pos="4513"/>
        <w:tab w:val="right" w:pos="9026"/>
      </w:tabs>
    </w:pPr>
  </w:style>
  <w:style w:type="character" w:customStyle="1" w:styleId="HeaderChar">
    <w:name w:val="Header Char"/>
    <w:basedOn w:val="DefaultParagraphFont"/>
    <w:link w:val="Header"/>
    <w:uiPriority w:val="99"/>
    <w:semiHidden/>
    <w:rsid w:val="00BE13CE"/>
    <w:rPr>
      <w:rFonts w:ascii="Times New Roman" w:eastAsia="Times New Roman" w:hAnsi="Times New Roman" w:cs="Times New Roman"/>
      <w:color w:val="000000"/>
      <w:kern w:val="28"/>
      <w:sz w:val="20"/>
      <w:szCs w:val="20"/>
      <w:lang w:eastAsia="en-GB"/>
    </w:rPr>
  </w:style>
  <w:style w:type="paragraph" w:styleId="Footer">
    <w:name w:val="footer"/>
    <w:basedOn w:val="Normal"/>
    <w:link w:val="FooterChar"/>
    <w:uiPriority w:val="99"/>
    <w:unhideWhenUsed/>
    <w:rsid w:val="00BE13CE"/>
    <w:pPr>
      <w:tabs>
        <w:tab w:val="center" w:pos="4513"/>
        <w:tab w:val="right" w:pos="9026"/>
      </w:tabs>
    </w:pPr>
  </w:style>
  <w:style w:type="character" w:customStyle="1" w:styleId="FooterChar">
    <w:name w:val="Footer Char"/>
    <w:basedOn w:val="DefaultParagraphFont"/>
    <w:link w:val="Footer"/>
    <w:uiPriority w:val="99"/>
    <w:rsid w:val="00BE13CE"/>
    <w:rPr>
      <w:rFonts w:ascii="Times New Roman" w:eastAsia="Times New Roman" w:hAnsi="Times New Roman" w:cs="Times New Roman"/>
      <w:color w:val="000000"/>
      <w:kern w:val="28"/>
      <w:sz w:val="20"/>
      <w:szCs w:val="20"/>
      <w:lang w:eastAsia="en-GB"/>
    </w:rPr>
  </w:style>
  <w:style w:type="paragraph" w:styleId="NoSpacing">
    <w:name w:val="No Spacing"/>
    <w:uiPriority w:val="1"/>
    <w:qFormat/>
    <w:rsid w:val="00E44623"/>
    <w:pPr>
      <w:spacing w:after="0" w:line="240" w:lineRule="auto"/>
    </w:pPr>
    <w:rPr>
      <w:rFonts w:ascii="Times New Roman" w:eastAsia="Times New Roman" w:hAnsi="Times New Roman" w:cs="Times New Roman"/>
      <w:color w:val="000000"/>
      <w:kern w:val="28"/>
      <w:sz w:val="20"/>
      <w:szCs w:val="20"/>
      <w:lang w:eastAsia="en-GB"/>
    </w:rPr>
  </w:style>
  <w:style w:type="paragraph" w:styleId="ListParagraph">
    <w:name w:val="List Paragraph"/>
    <w:basedOn w:val="Normal"/>
    <w:uiPriority w:val="34"/>
    <w:qFormat/>
    <w:rsid w:val="003B67FC"/>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E13CE"/>
    <w:pPr>
      <w:spacing w:after="0" w:line="240" w:lineRule="auto"/>
    </w:pPr>
    <w:rPr>
      <w:rFonts w:ascii="Times New Roman" w:eastAsia="Times New Roman" w:hAnsi="Times New Roman" w:cs="Times New Roman"/>
      <w:color w:val="000000"/>
      <w:kern w:val="28"/>
      <w:sz w:val="20"/>
      <w:szCs w:val="2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BE13CE"/>
    <w:rPr>
      <w:color w:val="0066FF"/>
      <w:u w:val="single"/>
    </w:rPr>
  </w:style>
  <w:style w:type="paragraph" w:styleId="BalloonText">
    <w:name w:val="Balloon Text"/>
    <w:basedOn w:val="Normal"/>
    <w:link w:val="BalloonTextChar"/>
    <w:uiPriority w:val="99"/>
    <w:semiHidden/>
    <w:unhideWhenUsed/>
    <w:rsid w:val="00BE13CE"/>
    <w:rPr>
      <w:rFonts w:ascii="Tahoma" w:hAnsi="Tahoma" w:cs="Tahoma"/>
      <w:sz w:val="16"/>
      <w:szCs w:val="16"/>
    </w:rPr>
  </w:style>
  <w:style w:type="character" w:customStyle="1" w:styleId="BalloonTextChar">
    <w:name w:val="Balloon Text Char"/>
    <w:basedOn w:val="DefaultParagraphFont"/>
    <w:link w:val="BalloonText"/>
    <w:uiPriority w:val="99"/>
    <w:semiHidden/>
    <w:rsid w:val="00BE13CE"/>
    <w:rPr>
      <w:rFonts w:ascii="Tahoma" w:eastAsia="Times New Roman" w:hAnsi="Tahoma" w:cs="Tahoma"/>
      <w:color w:val="000000"/>
      <w:kern w:val="28"/>
      <w:sz w:val="16"/>
      <w:szCs w:val="16"/>
      <w:lang w:eastAsia="en-GB"/>
    </w:rPr>
  </w:style>
  <w:style w:type="paragraph" w:styleId="Header">
    <w:name w:val="header"/>
    <w:basedOn w:val="Normal"/>
    <w:link w:val="HeaderChar"/>
    <w:uiPriority w:val="99"/>
    <w:semiHidden/>
    <w:unhideWhenUsed/>
    <w:rsid w:val="00BE13CE"/>
    <w:pPr>
      <w:tabs>
        <w:tab w:val="center" w:pos="4513"/>
        <w:tab w:val="right" w:pos="9026"/>
      </w:tabs>
    </w:pPr>
  </w:style>
  <w:style w:type="character" w:customStyle="1" w:styleId="HeaderChar">
    <w:name w:val="Header Char"/>
    <w:basedOn w:val="DefaultParagraphFont"/>
    <w:link w:val="Header"/>
    <w:uiPriority w:val="99"/>
    <w:semiHidden/>
    <w:rsid w:val="00BE13CE"/>
    <w:rPr>
      <w:rFonts w:ascii="Times New Roman" w:eastAsia="Times New Roman" w:hAnsi="Times New Roman" w:cs="Times New Roman"/>
      <w:color w:val="000000"/>
      <w:kern w:val="28"/>
      <w:sz w:val="20"/>
      <w:szCs w:val="20"/>
      <w:lang w:eastAsia="en-GB"/>
    </w:rPr>
  </w:style>
  <w:style w:type="paragraph" w:styleId="Footer">
    <w:name w:val="footer"/>
    <w:basedOn w:val="Normal"/>
    <w:link w:val="FooterChar"/>
    <w:uiPriority w:val="99"/>
    <w:unhideWhenUsed/>
    <w:rsid w:val="00BE13CE"/>
    <w:pPr>
      <w:tabs>
        <w:tab w:val="center" w:pos="4513"/>
        <w:tab w:val="right" w:pos="9026"/>
      </w:tabs>
    </w:pPr>
  </w:style>
  <w:style w:type="character" w:customStyle="1" w:styleId="FooterChar">
    <w:name w:val="Footer Char"/>
    <w:basedOn w:val="DefaultParagraphFont"/>
    <w:link w:val="Footer"/>
    <w:uiPriority w:val="99"/>
    <w:rsid w:val="00BE13CE"/>
    <w:rPr>
      <w:rFonts w:ascii="Times New Roman" w:eastAsia="Times New Roman" w:hAnsi="Times New Roman" w:cs="Times New Roman"/>
      <w:color w:val="000000"/>
      <w:kern w:val="28"/>
      <w:sz w:val="20"/>
      <w:szCs w:val="20"/>
      <w:lang w:eastAsia="en-GB"/>
    </w:rPr>
  </w:style>
  <w:style w:type="paragraph" w:styleId="NoSpacing">
    <w:name w:val="No Spacing"/>
    <w:uiPriority w:val="1"/>
    <w:qFormat/>
    <w:rsid w:val="00E44623"/>
    <w:pPr>
      <w:spacing w:after="0" w:line="240" w:lineRule="auto"/>
    </w:pPr>
    <w:rPr>
      <w:rFonts w:ascii="Times New Roman" w:eastAsia="Times New Roman" w:hAnsi="Times New Roman" w:cs="Times New Roman"/>
      <w:color w:val="000000"/>
      <w:kern w:val="28"/>
      <w:sz w:val="20"/>
      <w:szCs w:val="20"/>
      <w:lang w:eastAsia="en-GB"/>
    </w:rPr>
  </w:style>
  <w:style w:type="paragraph" w:styleId="ListParagraph">
    <w:name w:val="List Paragraph"/>
    <w:basedOn w:val="Normal"/>
    <w:uiPriority w:val="34"/>
    <w:qFormat/>
    <w:rsid w:val="003B67F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487044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ageuk.org.uk/cymru/" TargetMode="External"/><Relationship Id="rId13" Type="http://schemas.openxmlformats.org/officeDocument/2006/relationships/hyperlink" Target="http://gov.wales/docs/dhss/publications/151218part10en.pdf" TargetMode="External"/><Relationship Id="rId1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hyperlink" Target="http://www.ccwales.org.uk/edrms/157294/" TargetMode="External"/><Relationship Id="rId2" Type="http://schemas.openxmlformats.org/officeDocument/2006/relationships/styles" Target="styles.xml"/><Relationship Id="rId16" Type="http://schemas.openxmlformats.org/officeDocument/2006/relationships/hyperlink" Target="http://www.ccwales.org.uk/edrms/157075/"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2.jpeg"/><Relationship Id="rId5" Type="http://schemas.openxmlformats.org/officeDocument/2006/relationships/webSettings" Target="webSettings.xml"/><Relationship Id="rId15" Type="http://schemas.openxmlformats.org/officeDocument/2006/relationships/hyperlink" Target="http://gov.wales/docs/dhss/publications/151218part2en.pdf" TargetMode="External"/><Relationship Id="rId10" Type="http://schemas.openxmlformats.org/officeDocument/2006/relationships/hyperlink" Target="http://www.ageuk.org.uk/cymru/policy/golden-thread-advocacy-programme/"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jpeg"/><Relationship Id="rId14" Type="http://schemas.openxmlformats.org/officeDocument/2006/relationships/hyperlink" Target="http://www.ccwales.org.uk/edrms/15719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4</Pages>
  <Words>883</Words>
  <Characters>5038</Characters>
  <Application>Microsoft Office Word</Application>
  <DocSecurity>8</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ffion.jones</dc:creator>
  <cp:lastModifiedBy>ffion.jones</cp:lastModifiedBy>
  <cp:revision>5</cp:revision>
  <cp:lastPrinted>2017-05-19T11:25:00Z</cp:lastPrinted>
  <dcterms:created xsi:type="dcterms:W3CDTF">2017-05-19T10:42:00Z</dcterms:created>
  <dcterms:modified xsi:type="dcterms:W3CDTF">2017-05-19T11:29:00Z</dcterms:modified>
</cp:coreProperties>
</file>